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735" w:rsidRDefault="00BC0735"/>
    <w:p w:rsidR="00E000CF" w:rsidRDefault="00E000CF"/>
    <w:p w:rsidR="00E000CF" w:rsidRDefault="00E000CF"/>
    <w:p w:rsidR="00E000CF" w:rsidRDefault="00E000CF"/>
    <w:p w:rsidR="00E000CF" w:rsidRDefault="00E000CF"/>
    <w:p w:rsidR="00E000CF" w:rsidRDefault="00E000CF"/>
    <w:p w:rsidR="00E000CF" w:rsidRPr="00E000CF" w:rsidRDefault="00E000CF" w:rsidP="00E000CF">
      <w:pPr>
        <w:jc w:val="center"/>
        <w:rPr>
          <w:b/>
          <w:sz w:val="52"/>
        </w:rPr>
      </w:pPr>
      <w:r w:rsidRPr="00E000CF">
        <w:rPr>
          <w:b/>
          <w:sz w:val="52"/>
        </w:rPr>
        <w:t>L’environnement personnel d’apprentissage</w:t>
      </w:r>
    </w:p>
    <w:p w:rsidR="00E000CF" w:rsidRDefault="00E000CF"/>
    <w:p w:rsidR="00E000CF" w:rsidRDefault="00E000CF"/>
    <w:p w:rsidR="00E000CF" w:rsidRDefault="00E000CF"/>
    <w:p w:rsidR="00E000CF" w:rsidRDefault="00E000CF"/>
    <w:p w:rsidR="00E000CF" w:rsidRDefault="00E000CF"/>
    <w:p w:rsidR="00E000CF" w:rsidRDefault="00E000CF"/>
    <w:p w:rsidR="00E000CF" w:rsidRDefault="00E000CF"/>
    <w:p w:rsidR="00E000CF" w:rsidRDefault="00E000CF" w:rsidP="00E000CF">
      <w:pPr>
        <w:jc w:val="center"/>
      </w:pPr>
      <w:r>
        <w:t>Denis Cristol</w:t>
      </w:r>
    </w:p>
    <w:p w:rsidR="00F74351" w:rsidRDefault="00F74351" w:rsidP="00E000CF">
      <w:pPr>
        <w:jc w:val="center"/>
      </w:pPr>
      <w:r>
        <w:t>20/4/2014</w:t>
      </w:r>
    </w:p>
    <w:p w:rsidR="00E000CF" w:rsidRDefault="00E000CF"/>
    <w:p w:rsidR="00E000CF" w:rsidRDefault="00E000CF">
      <w:r>
        <w:br w:type="page"/>
      </w:r>
    </w:p>
    <w:p w:rsidR="001C2741" w:rsidRDefault="001C2741">
      <w:pPr>
        <w:pStyle w:val="TM1"/>
        <w:tabs>
          <w:tab w:val="right" w:leader="dot" w:pos="9062"/>
        </w:tabs>
      </w:pPr>
    </w:p>
    <w:p w:rsidR="001C2741" w:rsidRDefault="001C2741">
      <w:pPr>
        <w:pStyle w:val="TM1"/>
        <w:tabs>
          <w:tab w:val="right" w:leader="dot" w:pos="9062"/>
        </w:tabs>
      </w:pPr>
    </w:p>
    <w:p w:rsidR="001C2741" w:rsidRDefault="001C2741">
      <w:pPr>
        <w:pStyle w:val="TM1"/>
        <w:tabs>
          <w:tab w:val="right" w:leader="dot" w:pos="9062"/>
        </w:tabs>
      </w:pPr>
    </w:p>
    <w:p w:rsidR="00056FE5" w:rsidRDefault="001C2741">
      <w:pPr>
        <w:pStyle w:val="TM1"/>
        <w:tabs>
          <w:tab w:val="right" w:leader="dot" w:pos="9062"/>
        </w:tabs>
        <w:rPr>
          <w:rFonts w:eastAsiaTheme="minorEastAsia"/>
          <w:noProof/>
          <w:lang w:eastAsia="fr-FR"/>
        </w:rPr>
      </w:pPr>
      <w:r>
        <w:fldChar w:fldCharType="begin"/>
      </w:r>
      <w:r>
        <w:instrText xml:space="preserve"> TOC \o "1-1" \h \z \u </w:instrText>
      </w:r>
      <w:r>
        <w:fldChar w:fldCharType="separate"/>
      </w:r>
      <w:hyperlink w:anchor="_Toc385784760" w:history="1">
        <w:r w:rsidR="00056FE5" w:rsidRPr="00FA1FD2">
          <w:rPr>
            <w:rStyle w:val="Lienhypertexte"/>
            <w:noProof/>
          </w:rPr>
          <w:t>Introduction</w:t>
        </w:r>
        <w:r w:rsidR="00056FE5">
          <w:rPr>
            <w:noProof/>
            <w:webHidden/>
          </w:rPr>
          <w:tab/>
        </w:r>
        <w:r w:rsidR="00056FE5">
          <w:rPr>
            <w:noProof/>
            <w:webHidden/>
          </w:rPr>
          <w:fldChar w:fldCharType="begin"/>
        </w:r>
        <w:r w:rsidR="00056FE5">
          <w:rPr>
            <w:noProof/>
            <w:webHidden/>
          </w:rPr>
          <w:instrText xml:space="preserve"> PAGEREF _Toc385784760 \h </w:instrText>
        </w:r>
        <w:r w:rsidR="00056FE5">
          <w:rPr>
            <w:noProof/>
            <w:webHidden/>
          </w:rPr>
        </w:r>
        <w:r w:rsidR="00056FE5">
          <w:rPr>
            <w:noProof/>
            <w:webHidden/>
          </w:rPr>
          <w:fldChar w:fldCharType="separate"/>
        </w:r>
        <w:r w:rsidR="00056FE5">
          <w:rPr>
            <w:noProof/>
            <w:webHidden/>
          </w:rPr>
          <w:t>3</w:t>
        </w:r>
        <w:r w:rsidR="00056FE5">
          <w:rPr>
            <w:noProof/>
            <w:webHidden/>
          </w:rPr>
          <w:fldChar w:fldCharType="end"/>
        </w:r>
      </w:hyperlink>
    </w:p>
    <w:p w:rsidR="00056FE5" w:rsidRDefault="00056FE5">
      <w:pPr>
        <w:pStyle w:val="TM1"/>
        <w:tabs>
          <w:tab w:val="right" w:leader="dot" w:pos="9062"/>
        </w:tabs>
        <w:rPr>
          <w:rFonts w:eastAsiaTheme="minorEastAsia"/>
          <w:noProof/>
          <w:lang w:eastAsia="fr-FR"/>
        </w:rPr>
      </w:pPr>
      <w:hyperlink w:anchor="_Toc385784761" w:history="1">
        <w:r w:rsidRPr="00FA1FD2">
          <w:rPr>
            <w:rStyle w:val="Lienhypertexte"/>
            <w:noProof/>
          </w:rPr>
          <w:t>Article 1Environnement d'apprentissage personnel</w:t>
        </w:r>
        <w:r>
          <w:rPr>
            <w:noProof/>
            <w:webHidden/>
          </w:rPr>
          <w:tab/>
        </w:r>
        <w:r>
          <w:rPr>
            <w:noProof/>
            <w:webHidden/>
          </w:rPr>
          <w:fldChar w:fldCharType="begin"/>
        </w:r>
        <w:r>
          <w:rPr>
            <w:noProof/>
            <w:webHidden/>
          </w:rPr>
          <w:instrText xml:space="preserve"> PAGEREF _Toc385784761 \h </w:instrText>
        </w:r>
        <w:r>
          <w:rPr>
            <w:noProof/>
            <w:webHidden/>
          </w:rPr>
        </w:r>
        <w:r>
          <w:rPr>
            <w:noProof/>
            <w:webHidden/>
          </w:rPr>
          <w:fldChar w:fldCharType="separate"/>
        </w:r>
        <w:r>
          <w:rPr>
            <w:noProof/>
            <w:webHidden/>
          </w:rPr>
          <w:t>4</w:t>
        </w:r>
        <w:r>
          <w:rPr>
            <w:noProof/>
            <w:webHidden/>
          </w:rPr>
          <w:fldChar w:fldCharType="end"/>
        </w:r>
      </w:hyperlink>
    </w:p>
    <w:p w:rsidR="00056FE5" w:rsidRDefault="00056FE5">
      <w:pPr>
        <w:pStyle w:val="TM1"/>
        <w:tabs>
          <w:tab w:val="right" w:leader="dot" w:pos="9062"/>
        </w:tabs>
        <w:rPr>
          <w:rFonts w:eastAsiaTheme="minorEastAsia"/>
          <w:noProof/>
          <w:lang w:eastAsia="fr-FR"/>
        </w:rPr>
      </w:pPr>
      <w:hyperlink w:anchor="_Toc385784762" w:history="1">
        <w:r w:rsidRPr="00FA1FD2">
          <w:rPr>
            <w:rStyle w:val="Lienhypertexte"/>
            <w:noProof/>
          </w:rPr>
          <w:t>Article 2 L’EPA : numérique et non numérique</w:t>
        </w:r>
        <w:r>
          <w:rPr>
            <w:noProof/>
            <w:webHidden/>
          </w:rPr>
          <w:tab/>
        </w:r>
        <w:r>
          <w:rPr>
            <w:noProof/>
            <w:webHidden/>
          </w:rPr>
          <w:fldChar w:fldCharType="begin"/>
        </w:r>
        <w:r>
          <w:rPr>
            <w:noProof/>
            <w:webHidden/>
          </w:rPr>
          <w:instrText xml:space="preserve"> PAGEREF _Toc385784762 \h </w:instrText>
        </w:r>
        <w:r>
          <w:rPr>
            <w:noProof/>
            <w:webHidden/>
          </w:rPr>
        </w:r>
        <w:r>
          <w:rPr>
            <w:noProof/>
            <w:webHidden/>
          </w:rPr>
          <w:fldChar w:fldCharType="separate"/>
        </w:r>
        <w:r>
          <w:rPr>
            <w:noProof/>
            <w:webHidden/>
          </w:rPr>
          <w:t>6</w:t>
        </w:r>
        <w:r>
          <w:rPr>
            <w:noProof/>
            <w:webHidden/>
          </w:rPr>
          <w:fldChar w:fldCharType="end"/>
        </w:r>
      </w:hyperlink>
    </w:p>
    <w:p w:rsidR="00056FE5" w:rsidRDefault="00056FE5">
      <w:pPr>
        <w:pStyle w:val="TM1"/>
        <w:tabs>
          <w:tab w:val="right" w:leader="dot" w:pos="9062"/>
        </w:tabs>
        <w:rPr>
          <w:rFonts w:eastAsiaTheme="minorEastAsia"/>
          <w:noProof/>
          <w:lang w:eastAsia="fr-FR"/>
        </w:rPr>
      </w:pPr>
      <w:hyperlink w:anchor="_Toc385784763" w:history="1">
        <w:r w:rsidRPr="00FA1FD2">
          <w:rPr>
            <w:rStyle w:val="Lienhypertexte"/>
            <w:noProof/>
          </w:rPr>
          <w:t>Article 3 De l'environnement personnel d'apprentissage à la communauté de pratique</w:t>
        </w:r>
        <w:r>
          <w:rPr>
            <w:noProof/>
            <w:webHidden/>
          </w:rPr>
          <w:tab/>
        </w:r>
        <w:r>
          <w:rPr>
            <w:noProof/>
            <w:webHidden/>
          </w:rPr>
          <w:fldChar w:fldCharType="begin"/>
        </w:r>
        <w:r>
          <w:rPr>
            <w:noProof/>
            <w:webHidden/>
          </w:rPr>
          <w:instrText xml:space="preserve"> PAGEREF _Toc385784763 \h </w:instrText>
        </w:r>
        <w:r>
          <w:rPr>
            <w:noProof/>
            <w:webHidden/>
          </w:rPr>
        </w:r>
        <w:r>
          <w:rPr>
            <w:noProof/>
            <w:webHidden/>
          </w:rPr>
          <w:fldChar w:fldCharType="separate"/>
        </w:r>
        <w:r>
          <w:rPr>
            <w:noProof/>
            <w:webHidden/>
          </w:rPr>
          <w:t>8</w:t>
        </w:r>
        <w:r>
          <w:rPr>
            <w:noProof/>
            <w:webHidden/>
          </w:rPr>
          <w:fldChar w:fldCharType="end"/>
        </w:r>
      </w:hyperlink>
    </w:p>
    <w:p w:rsidR="00056FE5" w:rsidRDefault="00056FE5">
      <w:pPr>
        <w:pStyle w:val="TM1"/>
        <w:tabs>
          <w:tab w:val="right" w:leader="dot" w:pos="9062"/>
        </w:tabs>
        <w:rPr>
          <w:rFonts w:eastAsiaTheme="minorEastAsia"/>
          <w:noProof/>
          <w:lang w:eastAsia="fr-FR"/>
        </w:rPr>
      </w:pPr>
      <w:hyperlink w:anchor="_Toc385784764" w:history="1">
        <w:r w:rsidRPr="00FA1FD2">
          <w:rPr>
            <w:rStyle w:val="Lienhypertexte"/>
            <w:noProof/>
          </w:rPr>
          <w:t>Article 4 B2i Lycées : Lancement d’un MOOC sur les compétences documentaires</w:t>
        </w:r>
        <w:r>
          <w:rPr>
            <w:noProof/>
            <w:webHidden/>
          </w:rPr>
          <w:tab/>
        </w:r>
        <w:r>
          <w:rPr>
            <w:noProof/>
            <w:webHidden/>
          </w:rPr>
          <w:fldChar w:fldCharType="begin"/>
        </w:r>
        <w:r>
          <w:rPr>
            <w:noProof/>
            <w:webHidden/>
          </w:rPr>
          <w:instrText xml:space="preserve"> PAGEREF _Toc385784764 \h </w:instrText>
        </w:r>
        <w:r>
          <w:rPr>
            <w:noProof/>
            <w:webHidden/>
          </w:rPr>
        </w:r>
        <w:r>
          <w:rPr>
            <w:noProof/>
            <w:webHidden/>
          </w:rPr>
          <w:fldChar w:fldCharType="separate"/>
        </w:r>
        <w:r>
          <w:rPr>
            <w:noProof/>
            <w:webHidden/>
          </w:rPr>
          <w:t>11</w:t>
        </w:r>
        <w:r>
          <w:rPr>
            <w:noProof/>
            <w:webHidden/>
          </w:rPr>
          <w:fldChar w:fldCharType="end"/>
        </w:r>
      </w:hyperlink>
    </w:p>
    <w:p w:rsidR="00056FE5" w:rsidRDefault="00056FE5">
      <w:pPr>
        <w:pStyle w:val="TM1"/>
        <w:tabs>
          <w:tab w:val="right" w:leader="dot" w:pos="9062"/>
        </w:tabs>
        <w:rPr>
          <w:rFonts w:eastAsiaTheme="minorEastAsia"/>
          <w:noProof/>
          <w:lang w:eastAsia="fr-FR"/>
        </w:rPr>
      </w:pPr>
      <w:hyperlink w:anchor="_Toc385784765" w:history="1">
        <w:r w:rsidRPr="00FA1FD2">
          <w:rPr>
            <w:rStyle w:val="Lienhypertexte"/>
            <w:noProof/>
          </w:rPr>
          <w:t>Article 5 L'environnement personnel d'apprentissage de l'élève</w:t>
        </w:r>
        <w:r>
          <w:rPr>
            <w:noProof/>
            <w:webHidden/>
          </w:rPr>
          <w:tab/>
        </w:r>
        <w:r>
          <w:rPr>
            <w:noProof/>
            <w:webHidden/>
          </w:rPr>
          <w:fldChar w:fldCharType="begin"/>
        </w:r>
        <w:r>
          <w:rPr>
            <w:noProof/>
            <w:webHidden/>
          </w:rPr>
          <w:instrText xml:space="preserve"> PAGEREF _Toc385784765 \h </w:instrText>
        </w:r>
        <w:r>
          <w:rPr>
            <w:noProof/>
            <w:webHidden/>
          </w:rPr>
        </w:r>
        <w:r>
          <w:rPr>
            <w:noProof/>
            <w:webHidden/>
          </w:rPr>
          <w:fldChar w:fldCharType="separate"/>
        </w:r>
        <w:r>
          <w:rPr>
            <w:noProof/>
            <w:webHidden/>
          </w:rPr>
          <w:t>13</w:t>
        </w:r>
        <w:r>
          <w:rPr>
            <w:noProof/>
            <w:webHidden/>
          </w:rPr>
          <w:fldChar w:fldCharType="end"/>
        </w:r>
      </w:hyperlink>
    </w:p>
    <w:p w:rsidR="001C2741" w:rsidRDefault="001C2741" w:rsidP="00F74351">
      <w:pPr>
        <w:pStyle w:val="Titre1"/>
      </w:pPr>
      <w:r>
        <w:fldChar w:fldCharType="end"/>
      </w:r>
    </w:p>
    <w:p w:rsidR="001C2741" w:rsidRDefault="001C2741">
      <w:pPr>
        <w:rPr>
          <w:rFonts w:ascii="Times New Roman" w:eastAsia="Times New Roman" w:hAnsi="Times New Roman" w:cs="Times New Roman"/>
          <w:b/>
          <w:bCs/>
          <w:kern w:val="36"/>
          <w:sz w:val="48"/>
          <w:szCs w:val="48"/>
          <w:lang w:eastAsia="fr-FR"/>
        </w:rPr>
      </w:pPr>
      <w:r>
        <w:br w:type="page"/>
      </w:r>
    </w:p>
    <w:p w:rsidR="002D303E" w:rsidRDefault="002D303E" w:rsidP="00F74351">
      <w:pPr>
        <w:pStyle w:val="Titre1"/>
        <w:rPr>
          <w:sz w:val="40"/>
        </w:rPr>
      </w:pPr>
      <w:bookmarkStart w:id="0" w:name="_Toc385784760"/>
    </w:p>
    <w:p w:rsidR="001C2741" w:rsidRPr="002D303E" w:rsidRDefault="001C2741" w:rsidP="00F74351">
      <w:pPr>
        <w:pStyle w:val="Titre1"/>
        <w:rPr>
          <w:sz w:val="40"/>
        </w:rPr>
      </w:pPr>
      <w:r w:rsidRPr="002D303E">
        <w:rPr>
          <w:sz w:val="40"/>
        </w:rPr>
        <w:t>Introduction</w:t>
      </w:r>
      <w:bookmarkEnd w:id="0"/>
    </w:p>
    <w:p w:rsidR="001C2741" w:rsidRDefault="00056FE5" w:rsidP="00056FE5">
      <w:r>
        <w:t xml:space="preserve">Ce dossier vise </w:t>
      </w:r>
      <w:r w:rsidR="002D303E">
        <w:t xml:space="preserve">à appréhender ce qu’est un « environnement personnel d’apprentissage ». En effet, il ne suffit pas d’avoir accès à une variété d’informations en ligne à tout moment, pour qu’un apprentissage se réalise. </w:t>
      </w:r>
    </w:p>
    <w:p w:rsidR="002D303E" w:rsidRDefault="002D303E" w:rsidP="00056FE5">
      <w:r>
        <w:t>Il s’agit au contraire de réfléchir à la façon dont les informations sont récupérées, stockées, indexées</w:t>
      </w:r>
      <w:r w:rsidR="00501AFB">
        <w:t>, partagées, enrichies intégrées dans un dessein organisé.</w:t>
      </w:r>
    </w:p>
    <w:p w:rsidR="002D303E" w:rsidRDefault="00501AFB" w:rsidP="00056FE5">
      <w:r>
        <w:t>La dimension sociale des interactions s’avère un point clé.</w:t>
      </w:r>
      <w:r>
        <w:t xml:space="preserve"> « On apprend seul mais jamais sans les autres » dit-on, cet adage pédagogique est particulièrement juste dans le monde numérique où il est si facile de se perdre tellement notre attention est sollicitée par de multiples signaux.</w:t>
      </w:r>
    </w:p>
    <w:p w:rsidR="00501AFB" w:rsidRDefault="00501AFB" w:rsidP="00056FE5">
      <w:r>
        <w:t>Autant apprendre à se constituer son espace numérique à la peaufiner pour apprendre  à apprendre et savoir se situer dans une véritable communauté apprenante</w:t>
      </w:r>
      <w:bookmarkStart w:id="1" w:name="_GoBack"/>
      <w:bookmarkEnd w:id="1"/>
      <w:r>
        <w:t>.</w:t>
      </w:r>
    </w:p>
    <w:p w:rsidR="001C2741" w:rsidRDefault="001C2741">
      <w:pPr>
        <w:rPr>
          <w:rFonts w:ascii="Times New Roman" w:eastAsia="Times New Roman" w:hAnsi="Times New Roman" w:cs="Times New Roman"/>
          <w:b/>
          <w:bCs/>
          <w:kern w:val="36"/>
          <w:sz w:val="48"/>
          <w:szCs w:val="48"/>
          <w:lang w:eastAsia="fr-FR"/>
        </w:rPr>
      </w:pPr>
      <w:r>
        <w:br w:type="page"/>
      </w:r>
    </w:p>
    <w:p w:rsidR="001C2741" w:rsidRDefault="001C2741" w:rsidP="00F74351">
      <w:pPr>
        <w:pStyle w:val="Titre1"/>
        <w:rPr>
          <w:sz w:val="40"/>
        </w:rPr>
      </w:pPr>
    </w:p>
    <w:p w:rsidR="0008652D" w:rsidRPr="0008652D" w:rsidRDefault="0008652D" w:rsidP="0008652D">
      <w:pPr>
        <w:pStyle w:val="Titre1"/>
        <w:rPr>
          <w:sz w:val="44"/>
        </w:rPr>
      </w:pPr>
      <w:bookmarkStart w:id="2" w:name="_Toc385784761"/>
      <w:r>
        <w:rPr>
          <w:sz w:val="44"/>
        </w:rPr>
        <w:t>Article 1</w:t>
      </w:r>
      <w:r w:rsidRPr="0008652D">
        <w:rPr>
          <w:sz w:val="44"/>
        </w:rPr>
        <w:t>Environnement d'apprentissage personnel</w:t>
      </w:r>
      <w:bookmarkEnd w:id="2"/>
    </w:p>
    <w:p w:rsidR="0008652D" w:rsidRDefault="0008652D" w:rsidP="0008652D">
      <w:pPr>
        <w:pStyle w:val="NormalWeb"/>
      </w:pPr>
      <w:hyperlink r:id="rId9" w:history="1">
        <w:r w:rsidRPr="00C91705">
          <w:rPr>
            <w:rStyle w:val="Lienhypertexte"/>
          </w:rPr>
          <w:t>http://fr.wikipedia.org/wiki/Environnement_d%27apprentissage_personnel</w:t>
        </w:r>
      </w:hyperlink>
    </w:p>
    <w:p w:rsidR="0008652D" w:rsidRDefault="0008652D" w:rsidP="0008652D">
      <w:pPr>
        <w:pStyle w:val="NormalWeb"/>
      </w:pPr>
      <w:r>
        <w:t xml:space="preserve">Les </w:t>
      </w:r>
      <w:r>
        <w:rPr>
          <w:b/>
          <w:bCs/>
        </w:rPr>
        <w:t>environnements d'apprentissage personnels</w:t>
      </w:r>
      <w:r>
        <w:t xml:space="preserve"> (en anglais </w:t>
      </w:r>
      <w:r>
        <w:rPr>
          <w:i/>
          <w:iCs/>
        </w:rPr>
        <w:t xml:space="preserve">PLE – </w:t>
      </w:r>
      <w:proofErr w:type="spellStart"/>
      <w:r w:rsidRPr="0008652D">
        <w:rPr>
          <w:rStyle w:val="lang-en"/>
          <w:i/>
          <w:iCs/>
        </w:rPr>
        <w:t>Personal</w:t>
      </w:r>
      <w:proofErr w:type="spellEnd"/>
      <w:r w:rsidRPr="0008652D">
        <w:rPr>
          <w:rStyle w:val="lang-en"/>
          <w:i/>
          <w:iCs/>
        </w:rPr>
        <w:t xml:space="preserve"> Learning </w:t>
      </w:r>
      <w:proofErr w:type="spellStart"/>
      <w:r w:rsidRPr="0008652D">
        <w:rPr>
          <w:rStyle w:val="lang-en"/>
          <w:i/>
          <w:iCs/>
        </w:rPr>
        <w:t>Environments</w:t>
      </w:r>
      <w:proofErr w:type="spellEnd"/>
      <w:r>
        <w:t>) sont des logiciels qui aident les élèves à organiser eux-mêmes leur apprentissage. Ceci implique de fournir aux élèves un support pour :</w:t>
      </w:r>
    </w:p>
    <w:p w:rsidR="0008652D" w:rsidRDefault="0008652D" w:rsidP="0008652D">
      <w:pPr>
        <w:numPr>
          <w:ilvl w:val="0"/>
          <w:numId w:val="5"/>
        </w:numPr>
        <w:spacing w:before="100" w:beforeAutospacing="1" w:after="100" w:afterAutospacing="1" w:line="240" w:lineRule="auto"/>
      </w:pPr>
      <w:r>
        <w:t>fixer leur propre objectif d'apprentissage</w:t>
      </w:r>
    </w:p>
    <w:p w:rsidR="0008652D" w:rsidRDefault="0008652D" w:rsidP="0008652D">
      <w:pPr>
        <w:numPr>
          <w:ilvl w:val="0"/>
          <w:numId w:val="5"/>
        </w:numPr>
        <w:spacing w:before="100" w:beforeAutospacing="1" w:after="100" w:afterAutospacing="1" w:line="240" w:lineRule="auto"/>
      </w:pPr>
      <w:r>
        <w:t>gérer leur propre auto formation au niveau du contenu et de la manière</w:t>
      </w:r>
    </w:p>
    <w:p w:rsidR="0008652D" w:rsidRDefault="0008652D" w:rsidP="0008652D">
      <w:pPr>
        <w:numPr>
          <w:ilvl w:val="0"/>
          <w:numId w:val="5"/>
        </w:numPr>
        <w:spacing w:before="100" w:beforeAutospacing="1" w:after="100" w:afterAutospacing="1" w:line="240" w:lineRule="auto"/>
      </w:pPr>
      <w:r>
        <w:t>communiquer avec d'autres apprenants</w:t>
      </w:r>
    </w:p>
    <w:p w:rsidR="0008652D" w:rsidRDefault="0008652D" w:rsidP="0008652D">
      <w:pPr>
        <w:pStyle w:val="NormalWeb"/>
      </w:pPr>
      <w:r>
        <w:t>Un PLE peut être composé d'un ou plusieurs sous-systèmes, tel un bureau d'application ou un service davantage orienté internet.</w:t>
      </w:r>
    </w:p>
    <w:p w:rsidR="0008652D" w:rsidRDefault="0008652D" w:rsidP="0008652D">
      <w:pPr>
        <w:pStyle w:val="Titre2"/>
      </w:pPr>
      <w:r>
        <w:t>Sommaire</w:t>
      </w:r>
    </w:p>
    <w:p w:rsidR="0008652D" w:rsidRDefault="0008652D" w:rsidP="0008652D">
      <w:pPr>
        <w:numPr>
          <w:ilvl w:val="0"/>
          <w:numId w:val="6"/>
        </w:numPr>
        <w:spacing w:before="100" w:beforeAutospacing="1" w:after="100" w:afterAutospacing="1" w:line="240" w:lineRule="auto"/>
      </w:pPr>
      <w:hyperlink r:id="rId10" w:anchor="Histoire" w:history="1">
        <w:r>
          <w:rPr>
            <w:rStyle w:val="tocnumber"/>
            <w:color w:val="0000FF"/>
            <w:u w:val="single"/>
          </w:rPr>
          <w:t>1</w:t>
        </w:r>
        <w:r>
          <w:rPr>
            <w:rStyle w:val="Lienhypertexte"/>
          </w:rPr>
          <w:t xml:space="preserve"> </w:t>
        </w:r>
        <w:r>
          <w:rPr>
            <w:rStyle w:val="toctext"/>
            <w:color w:val="0000FF"/>
            <w:u w:val="single"/>
          </w:rPr>
          <w:t>Histoire</w:t>
        </w:r>
      </w:hyperlink>
    </w:p>
    <w:p w:rsidR="0008652D" w:rsidRDefault="0008652D" w:rsidP="0008652D">
      <w:pPr>
        <w:numPr>
          <w:ilvl w:val="0"/>
          <w:numId w:val="6"/>
        </w:numPr>
        <w:spacing w:before="100" w:beforeAutospacing="1" w:after="100" w:afterAutospacing="1" w:line="240" w:lineRule="auto"/>
      </w:pPr>
      <w:hyperlink r:id="rId11" w:anchor="Notes_et_r.C3.A9f.C3.A9rences" w:history="1">
        <w:r>
          <w:rPr>
            <w:rStyle w:val="tocnumber"/>
            <w:color w:val="0000FF"/>
            <w:u w:val="single"/>
          </w:rPr>
          <w:t>2</w:t>
        </w:r>
        <w:r>
          <w:rPr>
            <w:rStyle w:val="Lienhypertexte"/>
          </w:rPr>
          <w:t xml:space="preserve"> </w:t>
        </w:r>
        <w:r>
          <w:rPr>
            <w:rStyle w:val="toctext"/>
            <w:color w:val="0000FF"/>
            <w:u w:val="single"/>
          </w:rPr>
          <w:t>Notes et références</w:t>
        </w:r>
      </w:hyperlink>
    </w:p>
    <w:p w:rsidR="0008652D" w:rsidRDefault="0008652D" w:rsidP="0008652D">
      <w:pPr>
        <w:numPr>
          <w:ilvl w:val="0"/>
          <w:numId w:val="6"/>
        </w:numPr>
        <w:spacing w:before="100" w:beforeAutospacing="1" w:after="100" w:afterAutospacing="1" w:line="240" w:lineRule="auto"/>
      </w:pPr>
      <w:hyperlink r:id="rId12" w:anchor="Voir_aussi" w:history="1">
        <w:r>
          <w:rPr>
            <w:rStyle w:val="tocnumber"/>
            <w:color w:val="0000FF"/>
            <w:u w:val="single"/>
          </w:rPr>
          <w:t>3</w:t>
        </w:r>
        <w:r>
          <w:rPr>
            <w:rStyle w:val="Lienhypertexte"/>
          </w:rPr>
          <w:t xml:space="preserve"> </w:t>
        </w:r>
        <w:r>
          <w:rPr>
            <w:rStyle w:val="toctext"/>
            <w:color w:val="0000FF"/>
            <w:u w:val="single"/>
          </w:rPr>
          <w:t>Voir aussi</w:t>
        </w:r>
      </w:hyperlink>
      <w:r>
        <w:t xml:space="preserve"> </w:t>
      </w:r>
    </w:p>
    <w:p w:rsidR="0008652D" w:rsidRDefault="0008652D" w:rsidP="0008652D">
      <w:pPr>
        <w:numPr>
          <w:ilvl w:val="1"/>
          <w:numId w:val="6"/>
        </w:numPr>
        <w:spacing w:before="100" w:beforeAutospacing="1" w:after="100" w:afterAutospacing="1" w:line="240" w:lineRule="auto"/>
      </w:pPr>
      <w:hyperlink r:id="rId13" w:anchor="Articles_connexes" w:history="1">
        <w:r>
          <w:rPr>
            <w:rStyle w:val="tocnumber"/>
            <w:color w:val="0000FF"/>
            <w:u w:val="single"/>
          </w:rPr>
          <w:t>3.1</w:t>
        </w:r>
        <w:r>
          <w:rPr>
            <w:rStyle w:val="Lienhypertexte"/>
          </w:rPr>
          <w:t xml:space="preserve"> </w:t>
        </w:r>
        <w:r>
          <w:rPr>
            <w:rStyle w:val="toctext"/>
            <w:color w:val="0000FF"/>
            <w:u w:val="single"/>
          </w:rPr>
          <w:t>Articles connexes</w:t>
        </w:r>
      </w:hyperlink>
    </w:p>
    <w:p w:rsidR="0008652D" w:rsidRDefault="0008652D" w:rsidP="0008652D">
      <w:pPr>
        <w:numPr>
          <w:ilvl w:val="1"/>
          <w:numId w:val="6"/>
        </w:numPr>
        <w:spacing w:before="100" w:beforeAutospacing="1" w:after="100" w:afterAutospacing="1" w:line="240" w:lineRule="auto"/>
      </w:pPr>
      <w:hyperlink r:id="rId14" w:anchor="Liens_externes" w:history="1">
        <w:r>
          <w:rPr>
            <w:rStyle w:val="tocnumber"/>
            <w:color w:val="0000FF"/>
            <w:u w:val="single"/>
          </w:rPr>
          <w:t>3.2</w:t>
        </w:r>
        <w:r>
          <w:rPr>
            <w:rStyle w:val="Lienhypertexte"/>
          </w:rPr>
          <w:t xml:space="preserve"> </w:t>
        </w:r>
        <w:r>
          <w:rPr>
            <w:rStyle w:val="toctext"/>
            <w:color w:val="0000FF"/>
            <w:u w:val="single"/>
          </w:rPr>
          <w:t>Liens externes</w:t>
        </w:r>
      </w:hyperlink>
    </w:p>
    <w:p w:rsidR="0008652D" w:rsidRDefault="0008652D" w:rsidP="0008652D">
      <w:pPr>
        <w:pStyle w:val="Titre2"/>
      </w:pPr>
      <w:r>
        <w:rPr>
          <w:rStyle w:val="mw-headline"/>
        </w:rPr>
        <w:t>Histoire</w:t>
      </w:r>
    </w:p>
    <w:p w:rsidR="0008652D" w:rsidRDefault="0008652D" w:rsidP="0008652D">
      <w:pPr>
        <w:pStyle w:val="NormalWeb"/>
      </w:pPr>
      <w:r>
        <w:t>Le terme d'« environnement d'apprentissage personnel » (EAP) est un terme très récent, mais le concept en lui-même ne représente que la dernière étape d'une approche alternative à l'</w:t>
      </w:r>
      <w:hyperlink r:id="rId15" w:tooltip="E-learning" w:history="1">
        <w:r>
          <w:rPr>
            <w:rStyle w:val="Lienhypertexte"/>
          </w:rPr>
          <w:t>e-learning</w:t>
        </w:r>
      </w:hyperlink>
      <w:r>
        <w:t xml:space="preserve">, dont les origines remontent à de vieux systèmes tels que </w:t>
      </w:r>
      <w:hyperlink r:id="rId16" w:tooltip="Colloquia (page inexistante)" w:history="1">
        <w:proofErr w:type="spellStart"/>
        <w:r>
          <w:rPr>
            <w:rStyle w:val="Lienhypertexte"/>
          </w:rPr>
          <w:t>Colloquia</w:t>
        </w:r>
        <w:proofErr w:type="spellEnd"/>
      </w:hyperlink>
      <w:r>
        <w:t xml:space="preserve"> (système d'enseignement </w:t>
      </w:r>
      <w:proofErr w:type="spellStart"/>
      <w:r>
        <w:t>peer</w:t>
      </w:r>
      <w:proofErr w:type="spellEnd"/>
      <w:r>
        <w:t>-</w:t>
      </w:r>
      <w:proofErr w:type="spellStart"/>
      <w:r>
        <w:t>to-peer</w:t>
      </w:r>
      <w:proofErr w:type="spellEnd"/>
      <w:r>
        <w:t>)</w:t>
      </w:r>
      <w:hyperlink r:id="rId17" w:anchor="cite_note-1" w:history="1">
        <w:r>
          <w:rPr>
            <w:rStyle w:val="Lienhypertexte"/>
            <w:vertAlign w:val="superscript"/>
          </w:rPr>
          <w:t>1</w:t>
        </w:r>
      </w:hyperlink>
      <w:r>
        <w:t xml:space="preserve">. Il a été initialement discuté en 2001 par </w:t>
      </w:r>
      <w:hyperlink r:id="rId18" w:tooltip="Bill Olivier (page inexistante)" w:history="1">
        <w:r>
          <w:rPr>
            <w:rStyle w:val="Lienhypertexte"/>
          </w:rPr>
          <w:t>Bill Olivier</w:t>
        </w:r>
      </w:hyperlink>
      <w:r>
        <w:t xml:space="preserve"> et </w:t>
      </w:r>
      <w:hyperlink r:id="rId19" w:tooltip="Lieber Oleg (page inexistante)" w:history="1">
        <w:proofErr w:type="spellStart"/>
        <w:r>
          <w:rPr>
            <w:rStyle w:val="Lienhypertexte"/>
          </w:rPr>
          <w:t>Lieber</w:t>
        </w:r>
        <w:proofErr w:type="spellEnd"/>
        <w:r>
          <w:rPr>
            <w:rStyle w:val="Lienhypertexte"/>
          </w:rPr>
          <w:t xml:space="preserve"> Oleg</w:t>
        </w:r>
      </w:hyperlink>
      <w:hyperlink r:id="rId20" w:anchor="cite_note-2" w:history="1">
        <w:r>
          <w:rPr>
            <w:rStyle w:val="Lienhypertexte"/>
            <w:vertAlign w:val="superscript"/>
          </w:rPr>
          <w:t>2</w:t>
        </w:r>
      </w:hyperlink>
      <w:r>
        <w:t xml:space="preserve"> qui considéraient l'e-learning comme non adaptés à tous les besoin des étudiants. Cette approche alternative s'est développée en parallèle avec les </w:t>
      </w:r>
      <w:hyperlink r:id="rId21" w:tooltip="Système de Gestion de l'Apprentissage" w:history="1">
        <w:r>
          <w:rPr>
            <w:rStyle w:val="Lienhypertexte"/>
          </w:rPr>
          <w:t>Système de Gestion de l'Apprentissage</w:t>
        </w:r>
      </w:hyperlink>
      <w:r>
        <w:t xml:space="preserve"> qui possèdent un centre d'étude (ou de cours).</w:t>
      </w:r>
    </w:p>
    <w:p w:rsidR="0008652D" w:rsidRDefault="0008652D" w:rsidP="0008652D">
      <w:pPr>
        <w:pStyle w:val="NormalWeb"/>
      </w:pPr>
      <w:r>
        <w:t>Dès le 4 novembre 2004, le concept se précise lors d’une conférence du JISC</w:t>
      </w:r>
      <w:hyperlink r:id="rId22" w:anchor="cite_note-3" w:history="1">
        <w:r>
          <w:rPr>
            <w:rStyle w:val="Lienhypertexte"/>
            <w:vertAlign w:val="superscript"/>
          </w:rPr>
          <w:t>3</w:t>
        </w:r>
      </w:hyperlink>
      <w:r>
        <w:t>, une commission qui œuvre pour les technologies de l’éducation et les standards d’interopérabilité. Le sujet est ensuite débattu dans un cadre informel sur des blogs anglo-saxons, canadiens et australiens. De mars 2005 à juillet 2006, le CETIS</w:t>
      </w:r>
      <w:hyperlink r:id="rId23" w:anchor="cite_note-4" w:history="1">
        <w:r>
          <w:rPr>
            <w:rStyle w:val="Lienhypertexte"/>
            <w:vertAlign w:val="superscript"/>
          </w:rPr>
          <w:t>4</w:t>
        </w:r>
      </w:hyperlink>
      <w:r>
        <w:t>, un centre de recherche en éducation commissionné par le JISC, étudie le concept de PLE pour tenter de mettre au point une définition, et un modèle et pour essayer de mieux cerner son impact.</w:t>
      </w:r>
    </w:p>
    <w:p w:rsidR="00501AFB" w:rsidRDefault="00501AFB">
      <w:pPr>
        <w:rPr>
          <w:rStyle w:val="mw-headline"/>
          <w:rFonts w:ascii="Times New Roman" w:eastAsia="Times New Roman" w:hAnsi="Times New Roman" w:cs="Times New Roman"/>
          <w:b/>
          <w:bCs/>
          <w:sz w:val="36"/>
          <w:szCs w:val="36"/>
          <w:lang w:eastAsia="fr-FR"/>
        </w:rPr>
      </w:pPr>
      <w:r>
        <w:rPr>
          <w:rStyle w:val="mw-headline"/>
        </w:rPr>
        <w:br w:type="page"/>
      </w:r>
    </w:p>
    <w:p w:rsidR="0008652D" w:rsidRDefault="0008652D" w:rsidP="0008652D">
      <w:pPr>
        <w:pStyle w:val="Titre2"/>
      </w:pPr>
      <w:r>
        <w:rPr>
          <w:rStyle w:val="mw-headline"/>
        </w:rPr>
        <w:lastRenderedPageBreak/>
        <w:t>Notes et références</w:t>
      </w:r>
    </w:p>
    <w:p w:rsidR="0008652D" w:rsidRDefault="0008652D" w:rsidP="0008652D">
      <w:pPr>
        <w:numPr>
          <w:ilvl w:val="0"/>
          <w:numId w:val="7"/>
        </w:numPr>
        <w:spacing w:before="100" w:beforeAutospacing="1" w:after="100" w:afterAutospacing="1" w:line="240" w:lineRule="auto"/>
        <w:rPr>
          <w:sz w:val="20"/>
          <w:szCs w:val="20"/>
        </w:rPr>
      </w:pPr>
      <w:hyperlink r:id="rId24" w:anchor="cite_ref-1" w:history="1">
        <w:r>
          <w:rPr>
            <w:rStyle w:val="Lienhypertexte"/>
            <w:sz w:val="20"/>
            <w:szCs w:val="20"/>
          </w:rPr>
          <w:t>↑</w:t>
        </w:r>
      </w:hyperlink>
      <w:r>
        <w:rPr>
          <w:sz w:val="20"/>
          <w:szCs w:val="20"/>
        </w:rPr>
        <w:t xml:space="preserve"> </w:t>
      </w:r>
      <w:r>
        <w:rPr>
          <w:rStyle w:val="indicateur-langue"/>
          <w:sz w:val="20"/>
          <w:szCs w:val="20"/>
        </w:rPr>
        <w:t>(en)</w:t>
      </w:r>
      <w:r>
        <w:rPr>
          <w:rStyle w:val="ouvrage"/>
          <w:sz w:val="20"/>
          <w:szCs w:val="20"/>
        </w:rPr>
        <w:t xml:space="preserve"> </w:t>
      </w:r>
      <w:hyperlink r:id="rId25" w:history="1">
        <w:r>
          <w:rPr>
            <w:rStyle w:val="Lienhypertexte"/>
            <w:sz w:val="20"/>
            <w:szCs w:val="20"/>
          </w:rPr>
          <w:t>« </w:t>
        </w:r>
        <w:r>
          <w:rPr>
            <w:rStyle w:val="CitationHTML"/>
            <w:i w:val="0"/>
            <w:iCs w:val="0"/>
            <w:color w:val="0000FF"/>
            <w:sz w:val="20"/>
            <w:szCs w:val="20"/>
            <w:u w:val="single"/>
          </w:rPr>
          <w:t>Colloquia</w:t>
        </w:r>
        <w:r>
          <w:rPr>
            <w:rStyle w:val="Lienhypertexte"/>
            <w:sz w:val="20"/>
            <w:szCs w:val="20"/>
          </w:rPr>
          <w:t> »</w:t>
        </w:r>
      </w:hyperlink>
      <w:r>
        <w:rPr>
          <w:rStyle w:val="ouvrage"/>
          <w:sz w:val="15"/>
          <w:szCs w:val="15"/>
        </w:rPr>
        <w:t> [</w:t>
      </w:r>
      <w:hyperlink r:id="rId26" w:tooltip="archive de « Colloquia »" w:history="1">
        <w:r>
          <w:rPr>
            <w:rStyle w:val="Lienhypertexte"/>
            <w:sz w:val="15"/>
            <w:szCs w:val="15"/>
          </w:rPr>
          <w:t>archive</w:t>
        </w:r>
      </w:hyperlink>
      <w:r>
        <w:rPr>
          <w:rStyle w:val="ouvrage"/>
          <w:sz w:val="15"/>
          <w:szCs w:val="15"/>
        </w:rPr>
        <w:t>]</w:t>
      </w:r>
      <w:r>
        <w:rPr>
          <w:rStyle w:val="ouvrage"/>
          <w:sz w:val="20"/>
          <w:szCs w:val="20"/>
        </w:rPr>
        <w:t xml:space="preserve">, sur </w:t>
      </w:r>
      <w:r>
        <w:rPr>
          <w:rStyle w:val="ouvrage"/>
          <w:i/>
          <w:iCs/>
          <w:sz w:val="20"/>
          <w:szCs w:val="20"/>
        </w:rPr>
        <w:t>www.colloquia.net</w:t>
      </w:r>
      <w:r>
        <w:rPr>
          <w:rStyle w:val="ouvrage"/>
          <w:sz w:val="20"/>
          <w:szCs w:val="20"/>
        </w:rPr>
        <w:t xml:space="preserve"> </w:t>
      </w:r>
      <w:r>
        <w:rPr>
          <w:rStyle w:val="ouvrage"/>
          <w:sz w:val="15"/>
          <w:szCs w:val="15"/>
        </w:rPr>
        <w:t xml:space="preserve">(consulté le </w:t>
      </w:r>
      <w:r>
        <w:rPr>
          <w:rStyle w:val="nowrap"/>
          <w:sz w:val="15"/>
          <w:szCs w:val="15"/>
        </w:rPr>
        <w:t>9 septembre 2013</w:t>
      </w:r>
      <w:r>
        <w:rPr>
          <w:rStyle w:val="ouvrage"/>
          <w:sz w:val="15"/>
          <w:szCs w:val="15"/>
        </w:rPr>
        <w:t>)</w:t>
      </w:r>
    </w:p>
    <w:p w:rsidR="0008652D" w:rsidRPr="0008652D" w:rsidRDefault="0008652D" w:rsidP="0008652D">
      <w:pPr>
        <w:numPr>
          <w:ilvl w:val="0"/>
          <w:numId w:val="7"/>
        </w:numPr>
        <w:spacing w:before="100" w:beforeAutospacing="1" w:after="100" w:afterAutospacing="1" w:line="240" w:lineRule="auto"/>
        <w:rPr>
          <w:sz w:val="20"/>
          <w:szCs w:val="20"/>
          <w:lang w:val="en-US"/>
        </w:rPr>
      </w:pPr>
      <w:hyperlink r:id="rId27" w:anchor="cite_ref-2" w:history="1">
        <w:r w:rsidRPr="0008652D">
          <w:rPr>
            <w:rStyle w:val="Lienhypertexte"/>
            <w:sz w:val="20"/>
            <w:szCs w:val="20"/>
            <w:lang w:val="en-US"/>
          </w:rPr>
          <w:t>↑</w:t>
        </w:r>
      </w:hyperlink>
      <w:r w:rsidRPr="0008652D">
        <w:rPr>
          <w:sz w:val="20"/>
          <w:szCs w:val="20"/>
          <w:lang w:val="en-US"/>
        </w:rPr>
        <w:t xml:space="preserve"> </w:t>
      </w:r>
      <w:r w:rsidRPr="0008652D">
        <w:rPr>
          <w:rStyle w:val="indicateur-langue"/>
          <w:sz w:val="20"/>
          <w:szCs w:val="20"/>
          <w:lang w:val="en-US"/>
        </w:rPr>
        <w:t>(en)</w:t>
      </w:r>
      <w:r w:rsidRPr="0008652D">
        <w:rPr>
          <w:rStyle w:val="reference-text"/>
          <w:sz w:val="20"/>
          <w:szCs w:val="20"/>
          <w:lang w:val="en-US"/>
        </w:rPr>
        <w:t xml:space="preserve"> Olivier, Bill, &amp; Liber, Oleg. (2001) « </w:t>
      </w:r>
      <w:r>
        <w:rPr>
          <w:rStyle w:val="lang-en"/>
          <w:sz w:val="20"/>
          <w:szCs w:val="20"/>
          <w:lang w:val="en"/>
        </w:rPr>
        <w:t xml:space="preserve">Lifelong Learning: The Need for Portable Personal Learning Environments and Supporting Interoperability Standards » </w:t>
      </w:r>
      <w:r>
        <w:rPr>
          <w:rStyle w:val="lang-en"/>
          <w:i/>
          <w:iCs/>
          <w:sz w:val="20"/>
          <w:szCs w:val="20"/>
          <w:lang w:val="en"/>
        </w:rPr>
        <w:t>The JISC Centre for Educational Technology Interoperability Standards</w:t>
      </w:r>
      <w:r>
        <w:rPr>
          <w:rStyle w:val="lang-en"/>
          <w:sz w:val="20"/>
          <w:szCs w:val="20"/>
          <w:lang w:val="en"/>
        </w:rPr>
        <w:t>, Bolton Institute December</w:t>
      </w:r>
      <w:r w:rsidRPr="0008652D">
        <w:rPr>
          <w:rStyle w:val="reference-text"/>
          <w:sz w:val="20"/>
          <w:szCs w:val="20"/>
          <w:lang w:val="en-US"/>
        </w:rPr>
        <w:t xml:space="preserve"> 2001.</w:t>
      </w:r>
    </w:p>
    <w:p w:rsidR="0008652D" w:rsidRDefault="0008652D" w:rsidP="0008652D">
      <w:pPr>
        <w:numPr>
          <w:ilvl w:val="0"/>
          <w:numId w:val="7"/>
        </w:numPr>
        <w:spacing w:before="100" w:beforeAutospacing="1" w:after="100" w:afterAutospacing="1" w:line="240" w:lineRule="auto"/>
        <w:rPr>
          <w:sz w:val="20"/>
          <w:szCs w:val="20"/>
        </w:rPr>
      </w:pPr>
      <w:hyperlink r:id="rId28" w:anchor="cite_ref-3" w:history="1">
        <w:r>
          <w:rPr>
            <w:rStyle w:val="Lienhypertexte"/>
            <w:sz w:val="20"/>
            <w:szCs w:val="20"/>
          </w:rPr>
          <w:t>↑</w:t>
        </w:r>
      </w:hyperlink>
      <w:r>
        <w:rPr>
          <w:sz w:val="20"/>
          <w:szCs w:val="20"/>
        </w:rPr>
        <w:t xml:space="preserve"> </w:t>
      </w:r>
      <w:r>
        <w:rPr>
          <w:rStyle w:val="indicateur-langue"/>
          <w:sz w:val="20"/>
          <w:szCs w:val="20"/>
        </w:rPr>
        <w:t>(en)</w:t>
      </w:r>
      <w:r>
        <w:rPr>
          <w:rStyle w:val="reference-text"/>
          <w:sz w:val="20"/>
          <w:szCs w:val="20"/>
        </w:rPr>
        <w:t xml:space="preserve"> </w:t>
      </w:r>
      <w:r>
        <w:rPr>
          <w:rStyle w:val="lang-en"/>
          <w:i/>
          <w:iCs/>
          <w:sz w:val="20"/>
          <w:szCs w:val="20"/>
          <w:lang w:val="en"/>
        </w:rPr>
        <w:t>Joint Information Systems Committee</w:t>
      </w:r>
      <w:r>
        <w:rPr>
          <w:rStyle w:val="reference-text"/>
          <w:sz w:val="20"/>
          <w:szCs w:val="20"/>
        </w:rPr>
        <w:t xml:space="preserve"> </w:t>
      </w:r>
      <w:hyperlink r:id="rId29" w:history="1">
        <w:r>
          <w:rPr>
            <w:rStyle w:val="Lienhypertexte"/>
            <w:sz w:val="20"/>
            <w:szCs w:val="20"/>
          </w:rPr>
          <w:t>http://www.jisc.ac.uk/</w:t>
        </w:r>
      </w:hyperlink>
      <w:r>
        <w:rPr>
          <w:rStyle w:val="reference-text"/>
          <w:sz w:val="15"/>
          <w:szCs w:val="15"/>
        </w:rPr>
        <w:t> [</w:t>
      </w:r>
      <w:hyperlink r:id="rId30" w:tooltip="archive de http://www.jisc.ac.uk/" w:history="1">
        <w:r>
          <w:rPr>
            <w:rStyle w:val="Lienhypertexte"/>
            <w:sz w:val="15"/>
            <w:szCs w:val="15"/>
          </w:rPr>
          <w:t>archive</w:t>
        </w:r>
      </w:hyperlink>
      <w:r>
        <w:rPr>
          <w:rStyle w:val="reference-text"/>
          <w:sz w:val="15"/>
          <w:szCs w:val="15"/>
        </w:rPr>
        <w:t>]</w:t>
      </w:r>
    </w:p>
    <w:p w:rsidR="0008652D" w:rsidRDefault="0008652D" w:rsidP="0008652D">
      <w:pPr>
        <w:numPr>
          <w:ilvl w:val="0"/>
          <w:numId w:val="7"/>
        </w:numPr>
        <w:spacing w:before="100" w:beforeAutospacing="1" w:after="100" w:afterAutospacing="1" w:line="240" w:lineRule="auto"/>
        <w:rPr>
          <w:sz w:val="20"/>
          <w:szCs w:val="20"/>
        </w:rPr>
      </w:pPr>
      <w:hyperlink r:id="rId31" w:anchor="cite_ref-4" w:history="1">
        <w:r>
          <w:rPr>
            <w:rStyle w:val="Lienhypertexte"/>
            <w:sz w:val="20"/>
            <w:szCs w:val="20"/>
          </w:rPr>
          <w:t>↑</w:t>
        </w:r>
      </w:hyperlink>
      <w:r>
        <w:rPr>
          <w:sz w:val="20"/>
          <w:szCs w:val="20"/>
        </w:rPr>
        <w:t xml:space="preserve"> </w:t>
      </w:r>
      <w:r>
        <w:rPr>
          <w:rStyle w:val="indicateur-langue"/>
          <w:sz w:val="20"/>
          <w:szCs w:val="20"/>
        </w:rPr>
        <w:t>(en)</w:t>
      </w:r>
      <w:r>
        <w:rPr>
          <w:rStyle w:val="reference-text"/>
          <w:sz w:val="20"/>
          <w:szCs w:val="20"/>
        </w:rPr>
        <w:t xml:space="preserve"> </w:t>
      </w:r>
      <w:r>
        <w:rPr>
          <w:rStyle w:val="lang-en"/>
          <w:i/>
          <w:iCs/>
          <w:sz w:val="20"/>
          <w:szCs w:val="20"/>
          <w:lang w:val="en"/>
        </w:rPr>
        <w:t xml:space="preserve">Centre for Educational technology &amp; </w:t>
      </w:r>
      <w:proofErr w:type="spellStart"/>
      <w:r>
        <w:rPr>
          <w:rStyle w:val="lang-en"/>
          <w:i/>
          <w:iCs/>
          <w:sz w:val="20"/>
          <w:szCs w:val="20"/>
          <w:lang w:val="en"/>
        </w:rPr>
        <w:t>Interopérabiliy</w:t>
      </w:r>
      <w:proofErr w:type="spellEnd"/>
      <w:r>
        <w:rPr>
          <w:rStyle w:val="lang-en"/>
          <w:i/>
          <w:iCs/>
          <w:sz w:val="20"/>
          <w:szCs w:val="20"/>
          <w:lang w:val="en"/>
        </w:rPr>
        <w:t xml:space="preserve"> standards</w:t>
      </w:r>
      <w:r>
        <w:rPr>
          <w:rStyle w:val="reference-text"/>
          <w:sz w:val="20"/>
          <w:szCs w:val="20"/>
        </w:rPr>
        <w:t xml:space="preserve"> </w:t>
      </w:r>
      <w:hyperlink r:id="rId32" w:history="1">
        <w:r>
          <w:rPr>
            <w:rStyle w:val="Lienhypertexte"/>
            <w:sz w:val="20"/>
            <w:szCs w:val="20"/>
          </w:rPr>
          <w:t>http://jisc.cetis.ac.uk/</w:t>
        </w:r>
      </w:hyperlink>
      <w:r>
        <w:rPr>
          <w:rStyle w:val="reference-text"/>
          <w:sz w:val="15"/>
          <w:szCs w:val="15"/>
        </w:rPr>
        <w:t> [</w:t>
      </w:r>
      <w:hyperlink r:id="rId33" w:tooltip="archive de http://jisc.cetis.ac.uk/" w:history="1">
        <w:r>
          <w:rPr>
            <w:rStyle w:val="Lienhypertexte"/>
            <w:sz w:val="15"/>
            <w:szCs w:val="15"/>
          </w:rPr>
          <w:t>archive</w:t>
        </w:r>
      </w:hyperlink>
      <w:r>
        <w:rPr>
          <w:rStyle w:val="reference-text"/>
          <w:sz w:val="15"/>
          <w:szCs w:val="15"/>
        </w:rPr>
        <w:t>]</w:t>
      </w:r>
    </w:p>
    <w:p w:rsidR="0008652D" w:rsidRDefault="0008652D" w:rsidP="0008652D">
      <w:pPr>
        <w:pStyle w:val="Titre2"/>
      </w:pPr>
      <w:r>
        <w:rPr>
          <w:rStyle w:val="mw-headline"/>
        </w:rPr>
        <w:t>Voir aussi</w:t>
      </w:r>
    </w:p>
    <w:p w:rsidR="0008652D" w:rsidRDefault="0008652D" w:rsidP="0008652D">
      <w:pPr>
        <w:pStyle w:val="Titre3"/>
      </w:pPr>
      <w:r>
        <w:rPr>
          <w:rStyle w:val="mw-headline"/>
        </w:rPr>
        <w:t>Articles connexes</w:t>
      </w:r>
    </w:p>
    <w:p w:rsidR="0008652D" w:rsidRDefault="0008652D" w:rsidP="0008652D">
      <w:pPr>
        <w:numPr>
          <w:ilvl w:val="0"/>
          <w:numId w:val="8"/>
        </w:numPr>
        <w:spacing w:before="100" w:beforeAutospacing="1" w:after="100" w:afterAutospacing="1" w:line="240" w:lineRule="auto"/>
      </w:pPr>
      <w:hyperlink r:id="rId34" w:tooltip="Learning management system" w:history="1">
        <w:r>
          <w:rPr>
            <w:rStyle w:val="Lienhypertexte"/>
            <w:i/>
            <w:iCs/>
            <w:lang w:val="en"/>
          </w:rPr>
          <w:t>Learning management system</w:t>
        </w:r>
      </w:hyperlink>
    </w:p>
    <w:p w:rsidR="0008652D" w:rsidRDefault="0008652D" w:rsidP="0008652D">
      <w:pPr>
        <w:numPr>
          <w:ilvl w:val="0"/>
          <w:numId w:val="8"/>
        </w:numPr>
        <w:spacing w:before="100" w:beforeAutospacing="1" w:after="100" w:afterAutospacing="1" w:line="240" w:lineRule="auto"/>
      </w:pPr>
      <w:hyperlink r:id="rId35" w:tooltip="Plate-forme d'apprentissage en ligne" w:history="1">
        <w:r>
          <w:rPr>
            <w:rStyle w:val="Lienhypertexte"/>
          </w:rPr>
          <w:t>Plate-forme d'apprentissage en ligne</w:t>
        </w:r>
      </w:hyperlink>
    </w:p>
    <w:p w:rsidR="0008652D" w:rsidRDefault="0008652D" w:rsidP="0008652D">
      <w:pPr>
        <w:pStyle w:val="Titre3"/>
      </w:pPr>
      <w:r>
        <w:rPr>
          <w:rStyle w:val="mw-headline"/>
        </w:rPr>
        <w:t>Liens externes</w:t>
      </w:r>
    </w:p>
    <w:p w:rsidR="0008652D" w:rsidRDefault="0008652D" w:rsidP="0008652D">
      <w:pPr>
        <w:numPr>
          <w:ilvl w:val="0"/>
          <w:numId w:val="9"/>
        </w:numPr>
        <w:spacing w:before="100" w:beforeAutospacing="1" w:after="100" w:afterAutospacing="1" w:line="240" w:lineRule="auto"/>
      </w:pPr>
      <w:hyperlink r:id="rId36" w:history="1">
        <w:r>
          <w:rPr>
            <w:rStyle w:val="Lienhypertexte"/>
          </w:rPr>
          <w:t>Environnement d'Apprentissage Personnel</w:t>
        </w:r>
      </w:hyperlink>
      <w:r>
        <w:t>, Pierre Lachance</w:t>
      </w:r>
    </w:p>
    <w:p w:rsidR="0008652D" w:rsidRDefault="0008652D" w:rsidP="0008652D">
      <w:pPr>
        <w:numPr>
          <w:ilvl w:val="0"/>
          <w:numId w:val="9"/>
        </w:numPr>
        <w:spacing w:before="100" w:beforeAutospacing="1" w:after="100" w:afterAutospacing="1" w:line="240" w:lineRule="auto"/>
      </w:pPr>
      <w:hyperlink r:id="rId37" w:history="1">
        <w:r>
          <w:rPr>
            <w:rStyle w:val="Lienhypertexte"/>
          </w:rPr>
          <w:t>Exemple d'Environnement d'Apprentissage Personnel</w:t>
        </w:r>
      </w:hyperlink>
      <w:r>
        <w:t xml:space="preserve"> schématisé.</w:t>
      </w:r>
    </w:p>
    <w:p w:rsidR="0008652D" w:rsidRDefault="0008652D" w:rsidP="0008652D">
      <w:pPr>
        <w:numPr>
          <w:ilvl w:val="0"/>
          <w:numId w:val="9"/>
        </w:numPr>
        <w:spacing w:before="100" w:beforeAutospacing="1" w:after="100" w:afterAutospacing="1" w:line="240" w:lineRule="auto"/>
      </w:pPr>
      <w:r>
        <w:rPr>
          <w:rStyle w:val="indicateur-langue"/>
        </w:rPr>
        <w:t>(en)</w:t>
      </w:r>
      <w:r>
        <w:t xml:space="preserve"> </w:t>
      </w:r>
      <w:hyperlink r:id="rId38" w:history="1">
        <w:proofErr w:type="spellStart"/>
        <w:r>
          <w:rPr>
            <w:rStyle w:val="Lienhypertexte"/>
          </w:rPr>
          <w:t>Overview</w:t>
        </w:r>
        <w:proofErr w:type="spellEnd"/>
        <w:r>
          <w:rPr>
            <w:rStyle w:val="Lienhypertexte"/>
          </w:rPr>
          <w:t xml:space="preserve"> of </w:t>
        </w:r>
        <w:proofErr w:type="spellStart"/>
        <w:r>
          <w:rPr>
            <w:rStyle w:val="Lienhypertexte"/>
          </w:rPr>
          <w:t>Personal</w:t>
        </w:r>
        <w:proofErr w:type="spellEnd"/>
        <w:r>
          <w:rPr>
            <w:rStyle w:val="Lienhypertexte"/>
          </w:rPr>
          <w:t xml:space="preserve"> Learning </w:t>
        </w:r>
        <w:proofErr w:type="spellStart"/>
        <w:r>
          <w:rPr>
            <w:rStyle w:val="Lienhypertexte"/>
          </w:rPr>
          <w:t>Environments</w:t>
        </w:r>
        <w:proofErr w:type="spellEnd"/>
      </w:hyperlink>
      <w:r>
        <w:t xml:space="preserve"> Un centre de recherche au Manitoba</w:t>
      </w:r>
    </w:p>
    <w:p w:rsidR="0008652D" w:rsidRDefault="0008652D" w:rsidP="00F74351">
      <w:pPr>
        <w:pStyle w:val="Titre1"/>
        <w:rPr>
          <w:sz w:val="40"/>
        </w:rPr>
      </w:pPr>
    </w:p>
    <w:p w:rsidR="0008652D" w:rsidRDefault="0008652D">
      <w:pPr>
        <w:rPr>
          <w:rFonts w:ascii="Times New Roman" w:eastAsia="Times New Roman" w:hAnsi="Times New Roman" w:cs="Times New Roman"/>
          <w:b/>
          <w:bCs/>
          <w:kern w:val="36"/>
          <w:sz w:val="40"/>
          <w:szCs w:val="48"/>
          <w:lang w:eastAsia="fr-FR"/>
        </w:rPr>
      </w:pPr>
      <w:r>
        <w:rPr>
          <w:sz w:val="40"/>
        </w:rPr>
        <w:br w:type="page"/>
      </w:r>
    </w:p>
    <w:p w:rsidR="00F74351" w:rsidRPr="001C2741" w:rsidRDefault="00F74351" w:rsidP="00F74351">
      <w:pPr>
        <w:pStyle w:val="Titre1"/>
        <w:rPr>
          <w:sz w:val="40"/>
        </w:rPr>
      </w:pPr>
      <w:bookmarkStart w:id="3" w:name="_Toc385784762"/>
      <w:r w:rsidRPr="001C2741">
        <w:rPr>
          <w:sz w:val="40"/>
        </w:rPr>
        <w:lastRenderedPageBreak/>
        <w:t>Article</w:t>
      </w:r>
      <w:r w:rsidR="001C2741" w:rsidRPr="001C2741">
        <w:rPr>
          <w:sz w:val="40"/>
        </w:rPr>
        <w:t xml:space="preserve"> </w:t>
      </w:r>
      <w:r w:rsidR="0008652D">
        <w:rPr>
          <w:sz w:val="40"/>
        </w:rPr>
        <w:t>2</w:t>
      </w:r>
      <w:r w:rsidRPr="001C2741">
        <w:rPr>
          <w:sz w:val="40"/>
        </w:rPr>
        <w:t xml:space="preserve"> </w:t>
      </w:r>
      <w:r w:rsidRPr="001C2741">
        <w:rPr>
          <w:sz w:val="40"/>
        </w:rPr>
        <w:t>L’EPA : numérique et non numérique</w:t>
      </w:r>
      <w:bookmarkEnd w:id="3"/>
    </w:p>
    <w:p w:rsidR="00F74351" w:rsidRDefault="00F74351" w:rsidP="00F74351">
      <w:pPr>
        <w:pStyle w:val="NormalWeb"/>
      </w:pPr>
      <w:hyperlink r:id="rId39" w:history="1">
        <w:r w:rsidRPr="00C91705">
          <w:rPr>
            <w:rStyle w:val="Lienhypertexte"/>
          </w:rPr>
          <w:t>http://niroland.hypotheses.org/568</w:t>
        </w:r>
      </w:hyperlink>
    </w:p>
    <w:p w:rsidR="00F74351" w:rsidRDefault="00F74351" w:rsidP="00F74351">
      <w:pPr>
        <w:pStyle w:val="NormalWeb"/>
      </w:pPr>
      <w:r w:rsidRPr="00F74351">
        <w:drawing>
          <wp:inline distT="0" distB="0" distL="0" distR="0" wp14:anchorId="2CDF2557" wp14:editId="07A84B02">
            <wp:extent cx="2857500" cy="2152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57500" cy="2152650"/>
                    </a:xfrm>
                    <a:prstGeom prst="rect">
                      <a:avLst/>
                    </a:prstGeom>
                  </pic:spPr>
                </pic:pic>
              </a:graphicData>
            </a:graphic>
          </wp:inline>
        </w:drawing>
      </w:r>
    </w:p>
    <w:p w:rsidR="00F74351" w:rsidRDefault="00F74351" w:rsidP="00F74351">
      <w:pPr>
        <w:pStyle w:val="NormalWeb"/>
      </w:pPr>
      <w:r>
        <w:t>L’environnement personnel d’apprentissage (EPA) est une notion qui n’a pas encore de définition qui fasse consensus. Toutefois, la plupart des auteurs indiquent que cet environnement d’apprentissage est numérique ; il s’agit ainsi de l’ensemble des outils et services numériques que l’apprenant mobilise quotidiennement pour apprendre (</w:t>
      </w:r>
      <w:proofErr w:type="spellStart"/>
      <w:r>
        <w:t>Atwell</w:t>
      </w:r>
      <w:proofErr w:type="spellEnd"/>
      <w:r>
        <w:t>, 2007 ; </w:t>
      </w:r>
      <w:proofErr w:type="spellStart"/>
      <w:r>
        <w:t>Downes</w:t>
      </w:r>
      <w:proofErr w:type="spellEnd"/>
      <w:r>
        <w:t>, 2007 ; </w:t>
      </w:r>
      <w:proofErr w:type="spellStart"/>
      <w:r>
        <w:t>Bonfils</w:t>
      </w:r>
      <w:proofErr w:type="spellEnd"/>
      <w:r>
        <w:t xml:space="preserve"> et </w:t>
      </w:r>
      <w:proofErr w:type="spellStart"/>
      <w:r>
        <w:t>Peraya</w:t>
      </w:r>
      <w:proofErr w:type="spellEnd"/>
      <w:r>
        <w:t>, 2010 ; </w:t>
      </w:r>
      <w:proofErr w:type="spellStart"/>
      <w:r>
        <w:t>Peraya</w:t>
      </w:r>
      <w:proofErr w:type="spellEnd"/>
      <w:r>
        <w:t xml:space="preserve"> et </w:t>
      </w:r>
      <w:proofErr w:type="spellStart"/>
      <w:r>
        <w:t>Bonfils</w:t>
      </w:r>
      <w:proofErr w:type="spellEnd"/>
      <w:r>
        <w:t>, 2012).</w:t>
      </w:r>
    </w:p>
    <w:p w:rsidR="00F74351" w:rsidRDefault="00F74351" w:rsidP="00F74351">
      <w:pPr>
        <w:pStyle w:val="NormalWeb"/>
      </w:pPr>
      <w:r>
        <w:t xml:space="preserve">Toutefois, comme </w:t>
      </w:r>
      <w:hyperlink r:id="rId41" w:history="1">
        <w:r>
          <w:rPr>
            <w:rStyle w:val="Lienhypertexte"/>
          </w:rPr>
          <w:t>déjà évoqué brièvement</w:t>
        </w:r>
      </w:hyperlink>
      <w:r>
        <w:t> (et maladroitement) dans ce carnet, cet environnement mobilise simultanément des outils numériques ET des outils non numériques. Comme je l’écris dans un article (soumis dans une revue, en cours d’évaluation) à propos d’une recherche sur les EPA d’étudiants universitaires, “</w:t>
      </w:r>
      <w:r>
        <w:rPr>
          <w:rStyle w:val="Accentuation"/>
        </w:rPr>
        <w:t>En adoptant une approche systémique, l’analyse de la genèse instrumentale de certains artefacts ainsi que des schèmes d’usage associés permet d’observer une réelle complémentarité entre instruments numériques et non numériques ; c’est ainsi le cas pour l’exemple susmentionné (figure 2) ou pour Marie, étudiante d’un cours de droit constitutionnel en Faculté de Sciences politiques, dont le sous-système de la création de son support d’étude – présenté dans la figure 3 dont nous détaillons certains aspects – se compose d’outils et de services issus du web, certains qu’elle transpose d’ailleurs dans un format « non numérique », ainsi que d’un ensemble d’outils « non numériques ».</w:t>
      </w:r>
      <w:r>
        <w:t>“</w:t>
      </w:r>
    </w:p>
    <w:p w:rsidR="00F74351" w:rsidRDefault="00F74351" w:rsidP="00F74351">
      <w:pPr>
        <w:pStyle w:val="NormalWeb"/>
      </w:pPr>
      <w:r>
        <w:t xml:space="preserve">En retranscrivant, ce matin, l’entretien d’une jeune étudiante, je me suis dit que ses propos offraient une excellente illustration de cet environnement personnel d’apprentissage composé d’outils numériques et non numériques ; l’élaboration de cet environnement faisant l’objet d’un (ou de plusieurs) bricolage(s) (De </w:t>
      </w:r>
      <w:proofErr w:type="spellStart"/>
      <w:r>
        <w:t>Certeau</w:t>
      </w:r>
      <w:proofErr w:type="spellEnd"/>
      <w:r>
        <w:t>, 1980)</w:t>
      </w:r>
    </w:p>
    <w:p w:rsidR="001C2741" w:rsidRDefault="001C2741">
      <w:pPr>
        <w:rPr>
          <w:rStyle w:val="lev"/>
          <w:rFonts w:ascii="Times New Roman" w:eastAsia="Times New Roman" w:hAnsi="Times New Roman" w:cs="Times New Roman"/>
          <w:sz w:val="24"/>
          <w:szCs w:val="24"/>
          <w:lang w:eastAsia="fr-FR"/>
        </w:rPr>
      </w:pPr>
      <w:r>
        <w:rPr>
          <w:rStyle w:val="lev"/>
        </w:rPr>
        <w:br w:type="page"/>
      </w:r>
    </w:p>
    <w:p w:rsidR="001C2741" w:rsidRDefault="001C2741" w:rsidP="00F74351">
      <w:pPr>
        <w:pStyle w:val="NormalWeb"/>
        <w:rPr>
          <w:rStyle w:val="lev"/>
        </w:rPr>
      </w:pPr>
    </w:p>
    <w:p w:rsidR="00F74351" w:rsidRDefault="00F74351" w:rsidP="00F74351">
      <w:pPr>
        <w:pStyle w:val="NormalWeb"/>
      </w:pPr>
      <w:r>
        <w:rPr>
          <w:rStyle w:val="lev"/>
        </w:rPr>
        <w:t>Bibliographie</w:t>
      </w:r>
    </w:p>
    <w:p w:rsidR="00F74351" w:rsidRDefault="00F74351" w:rsidP="00F74351">
      <w:pPr>
        <w:pStyle w:val="NormalWeb"/>
      </w:pPr>
      <w:r w:rsidRPr="00F74351">
        <w:rPr>
          <w:lang w:val="en-US"/>
        </w:rPr>
        <w:t xml:space="preserve">ATWELL G. (2007). The Personal Learning Environments – the future of eLearning? </w:t>
      </w:r>
      <w:r>
        <w:t xml:space="preserve">Dans </w:t>
      </w:r>
      <w:proofErr w:type="spellStart"/>
      <w:r>
        <w:rPr>
          <w:i/>
          <w:iCs/>
        </w:rPr>
        <w:t>eLearning</w:t>
      </w:r>
      <w:proofErr w:type="spellEnd"/>
      <w:r>
        <w:rPr>
          <w:i/>
          <w:iCs/>
        </w:rPr>
        <w:t xml:space="preserve"> Papers.1</w:t>
      </w:r>
      <w:r>
        <w:t xml:space="preserve">(2). En ligne : </w:t>
      </w:r>
      <w:hyperlink r:id="rId42" w:history="1">
        <w:r>
          <w:rPr>
            <w:rStyle w:val="Lienhypertexte"/>
          </w:rPr>
          <w:t>http://www.elearningeuropa.info/files/media/media11561.pdf</w:t>
        </w:r>
      </w:hyperlink>
    </w:p>
    <w:p w:rsidR="00F74351" w:rsidRDefault="00F74351" w:rsidP="00F74351">
      <w:pPr>
        <w:pStyle w:val="NormalWeb"/>
      </w:pPr>
      <w:r>
        <w:t>BONFILS P., PERAYA D. (2010). Environnements de travail personnels ou institutionnels ? Les choix d’étudiants en ingénierie multimédia à Toulon. Actes du colloque international EUTIC 2010 </w:t>
      </w:r>
      <w:r>
        <w:rPr>
          <w:i/>
          <w:iCs/>
        </w:rPr>
        <w:t>Les usages intelligents des technologies de l’information et de la communication dans la réorganisation universitaire,</w:t>
      </w:r>
      <w:r>
        <w:t> Dakar, 2010.</w:t>
      </w:r>
    </w:p>
    <w:p w:rsidR="00F74351" w:rsidRDefault="00F74351" w:rsidP="00F74351">
      <w:pPr>
        <w:pStyle w:val="NormalWeb"/>
      </w:pPr>
      <w:r>
        <w:t xml:space="preserve">DE CERTEAU, M. (1990) </w:t>
      </w:r>
      <w:r>
        <w:rPr>
          <w:i/>
          <w:iCs/>
        </w:rPr>
        <w:t>L’invention du quotidien, 1. Arts de faire</w:t>
      </w:r>
      <w:r>
        <w:t>, nouvelle édition établie et présentée par Luce Giard, Paris : Gallimard.</w:t>
      </w:r>
    </w:p>
    <w:p w:rsidR="00F74351" w:rsidRPr="00F74351" w:rsidRDefault="00F74351" w:rsidP="00F74351">
      <w:pPr>
        <w:pStyle w:val="NormalWeb"/>
        <w:rPr>
          <w:lang w:val="en-US"/>
        </w:rPr>
      </w:pPr>
      <w:r w:rsidRPr="00F74351">
        <w:rPr>
          <w:lang w:val="en-US"/>
        </w:rPr>
        <w:t xml:space="preserve">DOWNES S. (2007). Learning networks in practice. </w:t>
      </w:r>
      <w:proofErr w:type="gramStart"/>
      <w:r w:rsidRPr="00F74351">
        <w:rPr>
          <w:i/>
          <w:iCs/>
          <w:lang w:val="en-US"/>
        </w:rPr>
        <w:t>Emerging Technologies for Learning, 2</w:t>
      </w:r>
      <w:r w:rsidRPr="00F74351">
        <w:rPr>
          <w:lang w:val="en-US"/>
        </w:rPr>
        <w:t>, 18–27.</w:t>
      </w:r>
      <w:proofErr w:type="gramEnd"/>
    </w:p>
    <w:p w:rsidR="00F74351" w:rsidRDefault="00F74351" w:rsidP="00F74351">
      <w:pPr>
        <w:pStyle w:val="NormalWeb"/>
      </w:pPr>
      <w:r w:rsidRPr="00F74351">
        <w:rPr>
          <w:lang w:val="en-US"/>
        </w:rPr>
        <w:t xml:space="preserve">PERAYA D., BONFILS P. (2012). </w:t>
      </w:r>
      <w:r>
        <w:t xml:space="preserve">Nouveaux dispositifs médiatiques, comportements et usages émergents: Le cas d’étudiants toulonnais en formation à </w:t>
      </w:r>
      <w:proofErr w:type="spellStart"/>
      <w:r>
        <w:t>l’Ufr</w:t>
      </w:r>
      <w:proofErr w:type="spellEnd"/>
      <w:r>
        <w:t xml:space="preserve"> </w:t>
      </w:r>
      <w:proofErr w:type="spellStart"/>
      <w:r>
        <w:t>Ingémédia</w:t>
      </w:r>
      <w:proofErr w:type="spellEnd"/>
      <w:r>
        <w:t> », in </w:t>
      </w:r>
      <w:r>
        <w:rPr>
          <w:i/>
          <w:iCs/>
        </w:rPr>
        <w:t>Distance &amp; Médiations des Savoirs</w:t>
      </w:r>
      <w:r>
        <w:t>. En ligne : </w:t>
      </w:r>
      <w:hyperlink r:id="rId43" w:history="1">
        <w:r>
          <w:rPr>
            <w:rStyle w:val="Lienhypertexte"/>
          </w:rPr>
          <w:t>http://dms.revues.org/126</w:t>
        </w:r>
      </w:hyperlink>
    </w:p>
    <w:p w:rsidR="00E000CF" w:rsidRDefault="00E000CF"/>
    <w:p w:rsidR="003A49AA" w:rsidRPr="001C2741" w:rsidRDefault="00F74351" w:rsidP="003A49AA">
      <w:pPr>
        <w:pStyle w:val="Titre1"/>
        <w:rPr>
          <w:sz w:val="40"/>
        </w:rPr>
      </w:pPr>
      <w:r>
        <w:br w:type="page"/>
      </w:r>
      <w:bookmarkStart w:id="4" w:name="_Toc385784763"/>
      <w:r w:rsidR="003A49AA" w:rsidRPr="001C2741">
        <w:rPr>
          <w:sz w:val="40"/>
        </w:rPr>
        <w:lastRenderedPageBreak/>
        <w:t>Article</w:t>
      </w:r>
      <w:r w:rsidR="001C2741" w:rsidRPr="001C2741">
        <w:rPr>
          <w:sz w:val="40"/>
        </w:rPr>
        <w:t xml:space="preserve"> </w:t>
      </w:r>
      <w:r w:rsidR="0008652D">
        <w:rPr>
          <w:sz w:val="40"/>
        </w:rPr>
        <w:t>3</w:t>
      </w:r>
      <w:r w:rsidR="003A49AA" w:rsidRPr="001C2741">
        <w:rPr>
          <w:sz w:val="40"/>
        </w:rPr>
        <w:t xml:space="preserve"> De l'environnement personnel d'apprentissage à la communauté de pratique</w:t>
      </w:r>
      <w:bookmarkEnd w:id="4"/>
      <w:r w:rsidR="003A49AA" w:rsidRPr="001C2741">
        <w:rPr>
          <w:sz w:val="40"/>
        </w:rPr>
        <w:t xml:space="preserve"> </w:t>
      </w:r>
    </w:p>
    <w:p w:rsid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hyperlink r:id="rId44" w:history="1">
        <w:r w:rsidRPr="00C91705">
          <w:rPr>
            <w:rStyle w:val="Lienhypertexte"/>
            <w:rFonts w:ascii="Times New Roman" w:eastAsia="Times New Roman" w:hAnsi="Times New Roman" w:cs="Times New Roman"/>
            <w:sz w:val="24"/>
            <w:szCs w:val="24"/>
            <w:lang w:eastAsia="fr-FR"/>
          </w:rPr>
          <w:t>http://cursus.edu/dossiers-articles/articles/17796/environnement-personnel-apprentissage-communaute-pratique/#.U1P8v6Kpdm4</w:t>
        </w:r>
      </w:hyperlink>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xml:space="preserve">Créé le lundi 21 novembre 2011  |  Mise à jour le mercredi 21 décembre 2011 </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Il n'est pas besoin d'insister sur le fait que l'on apprend beaucoup en consultant Internet, de multiples façons : en explorant des sources spécialisées, en s'information sur les sites généralistes, en suivant des pairs ou des organismes liés à notre univers professionnel sur les réseaux sociaux, en s'abonnant aux fils RSS des sites de référence, etc.</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xml:space="preserve">Conjuguées à nos sources d'information et de savoirs physiques, ces sources et applications numériques composent notre Environnement personnel d'apprentissage (EPA - </w:t>
      </w:r>
      <w:proofErr w:type="spellStart"/>
      <w:r w:rsidRPr="003A49AA">
        <w:rPr>
          <w:rFonts w:ascii="Times New Roman" w:eastAsia="Times New Roman" w:hAnsi="Times New Roman" w:cs="Times New Roman"/>
          <w:sz w:val="24"/>
          <w:szCs w:val="24"/>
          <w:lang w:eastAsia="fr-FR"/>
        </w:rPr>
        <w:t>Personal</w:t>
      </w:r>
      <w:proofErr w:type="spellEnd"/>
      <w:r w:rsidRPr="003A49AA">
        <w:rPr>
          <w:rFonts w:ascii="Times New Roman" w:eastAsia="Times New Roman" w:hAnsi="Times New Roman" w:cs="Times New Roman"/>
          <w:sz w:val="24"/>
          <w:szCs w:val="24"/>
          <w:lang w:eastAsia="fr-FR"/>
        </w:rPr>
        <w:t xml:space="preserve"> Learning </w:t>
      </w:r>
      <w:proofErr w:type="spellStart"/>
      <w:r w:rsidRPr="003A49AA">
        <w:rPr>
          <w:rFonts w:ascii="Times New Roman" w:eastAsia="Times New Roman" w:hAnsi="Times New Roman" w:cs="Times New Roman"/>
          <w:sz w:val="24"/>
          <w:szCs w:val="24"/>
          <w:lang w:eastAsia="fr-FR"/>
        </w:rPr>
        <w:t>Environment</w:t>
      </w:r>
      <w:proofErr w:type="spellEnd"/>
      <w:r w:rsidRPr="003A49AA">
        <w:rPr>
          <w:rFonts w:ascii="Times New Roman" w:eastAsia="Times New Roman" w:hAnsi="Times New Roman" w:cs="Times New Roman"/>
          <w:sz w:val="24"/>
          <w:szCs w:val="24"/>
          <w:lang w:eastAsia="fr-FR"/>
        </w:rPr>
        <w:t xml:space="preserve"> en anglais). Si cet environnement apparaît comme confus et bouillonnant au premier abord, avec un peu de pratique on parvient à l'organiser et surtout à distinguer la fonction attribuée à chaque élément.</w:t>
      </w:r>
    </w:p>
    <w:p w:rsidR="003A49AA" w:rsidRPr="003A49AA" w:rsidRDefault="003A49AA" w:rsidP="003A49A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3A49AA">
        <w:rPr>
          <w:rFonts w:ascii="Times New Roman" w:eastAsia="Times New Roman" w:hAnsi="Times New Roman" w:cs="Times New Roman"/>
          <w:b/>
          <w:bCs/>
          <w:sz w:val="36"/>
          <w:szCs w:val="36"/>
          <w:lang w:eastAsia="fr-FR"/>
        </w:rPr>
        <w:t>Des fonctions multiples dans l'environnement d'apprentissage</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xml:space="preserve">Joyce </w:t>
      </w:r>
      <w:proofErr w:type="spellStart"/>
      <w:r w:rsidRPr="003A49AA">
        <w:rPr>
          <w:rFonts w:ascii="Times New Roman" w:eastAsia="Times New Roman" w:hAnsi="Times New Roman" w:cs="Times New Roman"/>
          <w:sz w:val="24"/>
          <w:szCs w:val="24"/>
          <w:lang w:eastAsia="fr-FR"/>
        </w:rPr>
        <w:t>Seitzinger</w:t>
      </w:r>
      <w:proofErr w:type="spellEnd"/>
      <w:r w:rsidRPr="003A49AA">
        <w:rPr>
          <w:rFonts w:ascii="Times New Roman" w:eastAsia="Times New Roman" w:hAnsi="Times New Roman" w:cs="Times New Roman"/>
          <w:sz w:val="24"/>
          <w:szCs w:val="24"/>
          <w:lang w:eastAsia="fr-FR"/>
        </w:rPr>
        <w:t xml:space="preserve">, qui travaille à l'université </w:t>
      </w:r>
      <w:proofErr w:type="spellStart"/>
      <w:r w:rsidRPr="003A49AA">
        <w:rPr>
          <w:rFonts w:ascii="Times New Roman" w:eastAsia="Times New Roman" w:hAnsi="Times New Roman" w:cs="Times New Roman"/>
          <w:sz w:val="24"/>
          <w:szCs w:val="24"/>
          <w:lang w:eastAsia="fr-FR"/>
        </w:rPr>
        <w:t>Deakin</w:t>
      </w:r>
      <w:proofErr w:type="spellEnd"/>
      <w:r w:rsidRPr="003A49AA">
        <w:rPr>
          <w:rFonts w:ascii="Times New Roman" w:eastAsia="Times New Roman" w:hAnsi="Times New Roman" w:cs="Times New Roman"/>
          <w:sz w:val="24"/>
          <w:szCs w:val="24"/>
          <w:lang w:eastAsia="fr-FR"/>
        </w:rPr>
        <w:t xml:space="preserve"> (Australie) a représenté graphiquement la structuration de son EPA :</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drawing>
          <wp:inline distT="0" distB="0" distL="0" distR="0" wp14:anchorId="337190DF" wp14:editId="26CF936E">
            <wp:extent cx="3333750" cy="25241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33750" cy="2524125"/>
                    </a:xfrm>
                    <a:prstGeom prst="rect">
                      <a:avLst/>
                    </a:prstGeom>
                  </pic:spPr>
                </pic:pic>
              </a:graphicData>
            </a:graphic>
          </wp:inline>
        </w:drawing>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Cette structuration est particulièrement éclairante. Le nom attribué à chaque quadrant est une métaphore évoquant sa fonction : la salle des profs (staff room), la salle des archives (</w:t>
      </w:r>
      <w:proofErr w:type="spellStart"/>
      <w:r w:rsidRPr="003A49AA">
        <w:rPr>
          <w:rFonts w:ascii="Times New Roman" w:eastAsia="Times New Roman" w:hAnsi="Times New Roman" w:cs="Times New Roman"/>
          <w:sz w:val="24"/>
          <w:szCs w:val="24"/>
          <w:lang w:eastAsia="fr-FR"/>
        </w:rPr>
        <w:t>filling</w:t>
      </w:r>
      <w:proofErr w:type="spellEnd"/>
      <w:r w:rsidRPr="003A49AA">
        <w:rPr>
          <w:rFonts w:ascii="Times New Roman" w:eastAsia="Times New Roman" w:hAnsi="Times New Roman" w:cs="Times New Roman"/>
          <w:sz w:val="24"/>
          <w:szCs w:val="24"/>
          <w:lang w:eastAsia="fr-FR"/>
        </w:rPr>
        <w:t xml:space="preserve"> cabinet), le journal (</w:t>
      </w:r>
      <w:proofErr w:type="spellStart"/>
      <w:r w:rsidRPr="003A49AA">
        <w:rPr>
          <w:rFonts w:ascii="Times New Roman" w:eastAsia="Times New Roman" w:hAnsi="Times New Roman" w:cs="Times New Roman"/>
          <w:sz w:val="24"/>
          <w:szCs w:val="24"/>
          <w:lang w:eastAsia="fr-FR"/>
        </w:rPr>
        <w:t>newspaper</w:t>
      </w:r>
      <w:proofErr w:type="spellEnd"/>
      <w:r w:rsidRPr="003A49AA">
        <w:rPr>
          <w:rFonts w:ascii="Times New Roman" w:eastAsia="Times New Roman" w:hAnsi="Times New Roman" w:cs="Times New Roman"/>
          <w:sz w:val="24"/>
          <w:szCs w:val="24"/>
          <w:lang w:eastAsia="fr-FR"/>
        </w:rPr>
        <w:t>) et le portfolio (portfolio). Chaq</w:t>
      </w:r>
      <w:r>
        <w:rPr>
          <w:rFonts w:ascii="Times New Roman" w:eastAsia="Times New Roman" w:hAnsi="Times New Roman" w:cs="Times New Roman"/>
          <w:sz w:val="24"/>
          <w:szCs w:val="24"/>
          <w:lang w:eastAsia="fr-FR"/>
        </w:rPr>
        <w:t>ue quadrant est caractérisé par</w:t>
      </w:r>
      <w:r w:rsidRPr="003A49AA">
        <w:rPr>
          <w:rFonts w:ascii="Times New Roman" w:eastAsia="Times New Roman" w:hAnsi="Times New Roman" w:cs="Times New Roman"/>
          <w:sz w:val="24"/>
          <w:szCs w:val="24"/>
          <w:lang w:eastAsia="fr-FR"/>
        </w:rPr>
        <w:t>:</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La densité du profil de l'utilisateur</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lastRenderedPageBreak/>
        <w:t>- La densité de la communication</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On remarque que dans le premier quadrant seulement, la communication et le profil sont denses ("hauts"). Il s'agit en effet de l'espace dans lequel les apprentissages s'effectuent via l'interaction avec les autres usagers des services. Il convient de présenter une identité bien établie et marquante, et de communiquer avec constance.</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Dans les trois autres quadrants, la communication n'est pas intense. Il s'agit avant tout de récolter et d'organiser de l'information pour soi, et pas de la communiquer. </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On s'en douterait, l'espace portfolio est, avec le quadrant de la salle des profs, l'espace dans lequel on construit un profil dense et complexe. C'est même tout l'intérêt du portfolio que de traduire la richesse de ses expériences.</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Concrètement, ces quatre quadrants sont alimentés via des outils et services qui sont représentés sur ce deuxième schéma :</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Là encore, un constat : seul l'espace "salle des profs" impose une communication en temps réel. Les autres quadrant</w:t>
      </w:r>
      <w:r>
        <w:rPr>
          <w:rFonts w:ascii="Times New Roman" w:eastAsia="Times New Roman" w:hAnsi="Times New Roman" w:cs="Times New Roman"/>
          <w:sz w:val="24"/>
          <w:szCs w:val="24"/>
          <w:lang w:eastAsia="fr-FR"/>
        </w:rPr>
        <w:t>s</w:t>
      </w:r>
      <w:r w:rsidRPr="003A49AA">
        <w:rPr>
          <w:rFonts w:ascii="Times New Roman" w:eastAsia="Times New Roman" w:hAnsi="Times New Roman" w:cs="Times New Roman"/>
          <w:sz w:val="24"/>
          <w:szCs w:val="24"/>
          <w:lang w:eastAsia="fr-FR"/>
        </w:rPr>
        <w:t xml:space="preserve"> sont alimentés au rythme souhaité par l'utilisateur.</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Cette schématisation de l'EPA, pour éclairante qu'elle soit, prend peu en compte les réseaux sociaux comme sources d'apprentissages. On les trouve uniquement dans le premier quadrant.</w:t>
      </w:r>
    </w:p>
    <w:p w:rsidR="003A49AA" w:rsidRPr="003A49AA" w:rsidRDefault="003A49AA" w:rsidP="003A49A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3A49AA">
        <w:rPr>
          <w:rFonts w:ascii="Times New Roman" w:eastAsia="Times New Roman" w:hAnsi="Times New Roman" w:cs="Times New Roman"/>
          <w:b/>
          <w:bCs/>
          <w:sz w:val="36"/>
          <w:szCs w:val="36"/>
          <w:lang w:eastAsia="fr-FR"/>
        </w:rPr>
        <w:t>De l'environnement à la communauté</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w:t>
      </w:r>
      <w:r w:rsidRPr="003A49AA">
        <w:drawing>
          <wp:inline distT="0" distB="0" distL="0" distR="0" wp14:anchorId="6D54415A" wp14:editId="545C0AFC">
            <wp:extent cx="3333750" cy="2533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33750" cy="2533650"/>
                    </a:xfrm>
                    <a:prstGeom prst="rect">
                      <a:avLst/>
                    </a:prstGeom>
                  </pic:spPr>
                </pic:pic>
              </a:graphicData>
            </a:graphic>
          </wp:inline>
        </w:drawing>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Barbara Bray pour sa part estime dans un billet intitulé "</w:t>
      </w:r>
      <w:proofErr w:type="spellStart"/>
      <w:r w:rsidRPr="003A49AA">
        <w:rPr>
          <w:rFonts w:ascii="Times New Roman" w:eastAsia="Times New Roman" w:hAnsi="Times New Roman" w:cs="Times New Roman"/>
          <w:sz w:val="24"/>
          <w:szCs w:val="24"/>
          <w:lang w:eastAsia="fr-FR"/>
        </w:rPr>
        <w:t>Your</w:t>
      </w:r>
      <w:proofErr w:type="spellEnd"/>
      <w:r w:rsidRPr="003A49AA">
        <w:rPr>
          <w:rFonts w:ascii="Times New Roman" w:eastAsia="Times New Roman" w:hAnsi="Times New Roman" w:cs="Times New Roman"/>
          <w:sz w:val="24"/>
          <w:szCs w:val="24"/>
          <w:lang w:eastAsia="fr-FR"/>
        </w:rPr>
        <w:t xml:space="preserve"> PLN </w:t>
      </w:r>
      <w:proofErr w:type="spellStart"/>
      <w:r w:rsidRPr="003A49AA">
        <w:rPr>
          <w:rFonts w:ascii="Times New Roman" w:eastAsia="Times New Roman" w:hAnsi="Times New Roman" w:cs="Times New Roman"/>
          <w:sz w:val="24"/>
          <w:szCs w:val="24"/>
          <w:lang w:eastAsia="fr-FR"/>
        </w:rPr>
        <w:t>helps</w:t>
      </w:r>
      <w:proofErr w:type="spellEnd"/>
      <w:r w:rsidRPr="003A49AA">
        <w:rPr>
          <w:rFonts w:ascii="Times New Roman" w:eastAsia="Times New Roman" w:hAnsi="Times New Roman" w:cs="Times New Roman"/>
          <w:sz w:val="24"/>
          <w:szCs w:val="24"/>
          <w:lang w:eastAsia="fr-FR"/>
        </w:rPr>
        <w:t xml:space="preserve"> </w:t>
      </w:r>
      <w:proofErr w:type="spellStart"/>
      <w:r w:rsidRPr="003A49AA">
        <w:rPr>
          <w:rFonts w:ascii="Times New Roman" w:eastAsia="Times New Roman" w:hAnsi="Times New Roman" w:cs="Times New Roman"/>
          <w:sz w:val="24"/>
          <w:szCs w:val="24"/>
          <w:lang w:eastAsia="fr-FR"/>
        </w:rPr>
        <w:t>your</w:t>
      </w:r>
      <w:proofErr w:type="spellEnd"/>
      <w:r w:rsidRPr="003A49AA">
        <w:rPr>
          <w:rFonts w:ascii="Times New Roman" w:eastAsia="Times New Roman" w:hAnsi="Times New Roman" w:cs="Times New Roman"/>
          <w:sz w:val="24"/>
          <w:szCs w:val="24"/>
          <w:lang w:eastAsia="fr-FR"/>
        </w:rPr>
        <w:t xml:space="preserve"> PLC </w:t>
      </w:r>
      <w:proofErr w:type="spellStart"/>
      <w:r w:rsidRPr="003A49AA">
        <w:rPr>
          <w:rFonts w:ascii="Times New Roman" w:eastAsia="Times New Roman" w:hAnsi="Times New Roman" w:cs="Times New Roman"/>
          <w:sz w:val="24"/>
          <w:szCs w:val="24"/>
          <w:lang w:eastAsia="fr-FR"/>
        </w:rPr>
        <w:t>become</w:t>
      </w:r>
      <w:proofErr w:type="spellEnd"/>
      <w:r w:rsidRPr="003A49AA">
        <w:rPr>
          <w:rFonts w:ascii="Times New Roman" w:eastAsia="Times New Roman" w:hAnsi="Times New Roman" w:cs="Times New Roman"/>
          <w:sz w:val="24"/>
          <w:szCs w:val="24"/>
          <w:lang w:eastAsia="fr-FR"/>
        </w:rPr>
        <w:t xml:space="preserve"> a </w:t>
      </w:r>
      <w:proofErr w:type="spellStart"/>
      <w:r w:rsidRPr="003A49AA">
        <w:rPr>
          <w:rFonts w:ascii="Times New Roman" w:eastAsia="Times New Roman" w:hAnsi="Times New Roman" w:cs="Times New Roman"/>
          <w:sz w:val="24"/>
          <w:szCs w:val="24"/>
          <w:lang w:eastAsia="fr-FR"/>
        </w:rPr>
        <w:t>CoP</w:t>
      </w:r>
      <w:proofErr w:type="spellEnd"/>
      <w:r w:rsidRPr="003A49AA">
        <w:rPr>
          <w:rFonts w:ascii="Times New Roman" w:eastAsia="Times New Roman" w:hAnsi="Times New Roman" w:cs="Times New Roman"/>
          <w:sz w:val="24"/>
          <w:szCs w:val="24"/>
          <w:lang w:eastAsia="fr-FR"/>
        </w:rPr>
        <w:t>" qu'il est aisé de transformer son EPA en Réseau personnel d'apprentissage, puis en communauté d'apprentissage professionnel et enfin en communauté de pratiques. Ce qui montre bien à quel point elle considère que les apprentissages nés de l'échange et de la réflexion commune enrichissent l'EPA de chacun.</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xml:space="preserve">B. Bray donne donc une place plus grande que Joyce </w:t>
      </w:r>
      <w:proofErr w:type="spellStart"/>
      <w:r w:rsidRPr="003A49AA">
        <w:rPr>
          <w:rFonts w:ascii="Times New Roman" w:eastAsia="Times New Roman" w:hAnsi="Times New Roman" w:cs="Times New Roman"/>
          <w:sz w:val="24"/>
          <w:szCs w:val="24"/>
          <w:lang w:eastAsia="fr-FR"/>
        </w:rPr>
        <w:t>Seitzinger</w:t>
      </w:r>
      <w:proofErr w:type="spellEnd"/>
      <w:r w:rsidRPr="003A49AA">
        <w:rPr>
          <w:rFonts w:ascii="Times New Roman" w:eastAsia="Times New Roman" w:hAnsi="Times New Roman" w:cs="Times New Roman"/>
          <w:sz w:val="24"/>
          <w:szCs w:val="24"/>
          <w:lang w:eastAsia="fr-FR"/>
        </w:rPr>
        <w:t xml:space="preserve"> aux réseaux sociaux, physiques et virtuels, dans l'EPA. Ces réseaux peuvent même aider à construire de véritables </w:t>
      </w:r>
      <w:r w:rsidRPr="003A49AA">
        <w:rPr>
          <w:rFonts w:ascii="Times New Roman" w:eastAsia="Times New Roman" w:hAnsi="Times New Roman" w:cs="Times New Roman"/>
          <w:sz w:val="24"/>
          <w:szCs w:val="24"/>
          <w:lang w:eastAsia="fr-FR"/>
        </w:rPr>
        <w:lastRenderedPageBreak/>
        <w:t xml:space="preserve">communautés professionnelles d'apprentissage, lorsque des personnes qui rencontrent un même problème cherchent, via leurs réseaux, des éléments d'information qui viendront alimenter la réflexion collective. Et cette communauté d'apprentissage professionnel peut à son tour se transformer en communauté de pratique. Il faut pour cela que les membres modélisent leurs activités, en fassent le bilan, identifient ce qui a fonctionné et ce qui a moins bien fonctionné. </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r w:rsidRPr="003A49AA">
        <w:rPr>
          <w:rFonts w:ascii="Times New Roman" w:eastAsia="Times New Roman" w:hAnsi="Times New Roman" w:cs="Times New Roman"/>
          <w:sz w:val="24"/>
          <w:szCs w:val="24"/>
          <w:lang w:eastAsia="fr-FR"/>
        </w:rPr>
        <w:t xml:space="preserve">Les deux auteures n'ont pas la même conception de l'environnement personnel d'apprentissage et de ce qu'y apportent les ressources et outils numériques. Pour Joyce </w:t>
      </w:r>
      <w:proofErr w:type="spellStart"/>
      <w:r w:rsidRPr="003A49AA">
        <w:rPr>
          <w:rFonts w:ascii="Times New Roman" w:eastAsia="Times New Roman" w:hAnsi="Times New Roman" w:cs="Times New Roman"/>
          <w:sz w:val="24"/>
          <w:szCs w:val="24"/>
          <w:lang w:eastAsia="fr-FR"/>
        </w:rPr>
        <w:t>Seitzinger</w:t>
      </w:r>
      <w:proofErr w:type="spellEnd"/>
      <w:r w:rsidRPr="003A49AA">
        <w:rPr>
          <w:rFonts w:ascii="Times New Roman" w:eastAsia="Times New Roman" w:hAnsi="Times New Roman" w:cs="Times New Roman"/>
          <w:sz w:val="24"/>
          <w:szCs w:val="24"/>
          <w:lang w:eastAsia="fr-FR"/>
        </w:rPr>
        <w:t xml:space="preserve">, l'EPA est individuel, tant dans sa construction que dans son utilisation. La dimension sociale y jour un rôle somme toute mineur. Pour Barbara Bray, l'apprentissage est clairement et essentiellement social. L'EPA n'est valable que s'il facilite le partage des problématiques et des réflexions, puis l'action commune. B. Bray considère la communauté de pratiques comme la forme la plus élaborée d'action collective, celle qui témoigne de processus d'apprentissage et de </w:t>
      </w:r>
      <w:proofErr w:type="spellStart"/>
      <w:r w:rsidRPr="003A49AA">
        <w:rPr>
          <w:rFonts w:ascii="Times New Roman" w:eastAsia="Times New Roman" w:hAnsi="Times New Roman" w:cs="Times New Roman"/>
          <w:sz w:val="24"/>
          <w:szCs w:val="24"/>
          <w:lang w:eastAsia="fr-FR"/>
        </w:rPr>
        <w:t>coordiantion</w:t>
      </w:r>
      <w:proofErr w:type="spellEnd"/>
      <w:r w:rsidRPr="003A49AA">
        <w:rPr>
          <w:rFonts w:ascii="Times New Roman" w:eastAsia="Times New Roman" w:hAnsi="Times New Roman" w:cs="Times New Roman"/>
          <w:sz w:val="24"/>
          <w:szCs w:val="24"/>
          <w:lang w:eastAsia="fr-FR"/>
        </w:rPr>
        <w:t xml:space="preserve"> matures, susceptibles d'être modélisés, analysés, avant d'alimenter à leur tour les environnements et réseaux d'apprentissage des membres d'une communauté élargie.</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val="en-US" w:eastAsia="fr-FR"/>
        </w:rPr>
      </w:pPr>
      <w:hyperlink r:id="rId47" w:tgtFrame="_blank" w:tooltip="S’ouvre dans une nouvelle fenêtre." w:history="1">
        <w:proofErr w:type="gramStart"/>
        <w:r w:rsidRPr="003A49AA">
          <w:rPr>
            <w:rFonts w:ascii="Times New Roman" w:eastAsia="Times New Roman" w:hAnsi="Times New Roman" w:cs="Times New Roman"/>
            <w:color w:val="0000FF"/>
            <w:sz w:val="24"/>
            <w:szCs w:val="24"/>
            <w:u w:val="single"/>
            <w:lang w:val="en-US" w:eastAsia="fr-FR"/>
          </w:rPr>
          <w:t>Tools of the Trade</w:t>
        </w:r>
      </w:hyperlink>
      <w:r w:rsidRPr="003A49AA">
        <w:rPr>
          <w:rFonts w:ascii="Times New Roman" w:eastAsia="Times New Roman" w:hAnsi="Times New Roman" w:cs="Times New Roman"/>
          <w:sz w:val="24"/>
          <w:szCs w:val="24"/>
          <w:lang w:val="en-US" w:eastAsia="fr-FR"/>
        </w:rPr>
        <w:t>.</w:t>
      </w:r>
      <w:proofErr w:type="gramEnd"/>
      <w:r w:rsidRPr="003A49AA">
        <w:rPr>
          <w:rFonts w:ascii="Times New Roman" w:eastAsia="Times New Roman" w:hAnsi="Times New Roman" w:cs="Times New Roman"/>
          <w:sz w:val="24"/>
          <w:szCs w:val="24"/>
          <w:lang w:val="en-US" w:eastAsia="fr-FR"/>
        </w:rPr>
        <w:t xml:space="preserve"> Steve Wheeler, Learning with "</w:t>
      </w:r>
      <w:proofErr w:type="spellStart"/>
      <w:r w:rsidRPr="003A49AA">
        <w:rPr>
          <w:rFonts w:ascii="Times New Roman" w:eastAsia="Times New Roman" w:hAnsi="Times New Roman" w:cs="Times New Roman"/>
          <w:sz w:val="24"/>
          <w:szCs w:val="24"/>
          <w:lang w:val="en-US" w:eastAsia="fr-FR"/>
        </w:rPr>
        <w:t>e"s</w:t>
      </w:r>
      <w:proofErr w:type="spellEnd"/>
      <w:r w:rsidRPr="003A49AA">
        <w:rPr>
          <w:rFonts w:ascii="Times New Roman" w:eastAsia="Times New Roman" w:hAnsi="Times New Roman" w:cs="Times New Roman"/>
          <w:sz w:val="24"/>
          <w:szCs w:val="24"/>
          <w:lang w:val="en-US" w:eastAsia="fr-FR"/>
        </w:rPr>
        <w:t xml:space="preserve">, 19 </w:t>
      </w:r>
      <w:proofErr w:type="spellStart"/>
      <w:r w:rsidRPr="003A49AA">
        <w:rPr>
          <w:rFonts w:ascii="Times New Roman" w:eastAsia="Times New Roman" w:hAnsi="Times New Roman" w:cs="Times New Roman"/>
          <w:sz w:val="24"/>
          <w:szCs w:val="24"/>
          <w:lang w:val="en-US" w:eastAsia="fr-FR"/>
        </w:rPr>
        <w:t>novembre</w:t>
      </w:r>
      <w:proofErr w:type="spellEnd"/>
      <w:r w:rsidRPr="003A49AA">
        <w:rPr>
          <w:rFonts w:ascii="Times New Roman" w:eastAsia="Times New Roman" w:hAnsi="Times New Roman" w:cs="Times New Roman"/>
          <w:sz w:val="24"/>
          <w:szCs w:val="24"/>
          <w:lang w:val="en-US" w:eastAsia="fr-FR"/>
        </w:rPr>
        <w:t xml:space="preserve"> 2011</w:t>
      </w:r>
    </w:p>
    <w:p w:rsidR="003A49AA" w:rsidRPr="003A49AA" w:rsidRDefault="003A49AA" w:rsidP="003A49AA">
      <w:pPr>
        <w:spacing w:before="100" w:beforeAutospacing="1" w:after="100" w:afterAutospacing="1" w:line="240" w:lineRule="auto"/>
        <w:rPr>
          <w:rFonts w:ascii="Times New Roman" w:eastAsia="Times New Roman" w:hAnsi="Times New Roman" w:cs="Times New Roman"/>
          <w:sz w:val="24"/>
          <w:szCs w:val="24"/>
          <w:lang w:eastAsia="fr-FR"/>
        </w:rPr>
      </w:pPr>
      <w:hyperlink r:id="rId48" w:tgtFrame="_blank" w:tooltip="S’ouvre dans une nouvelle fenêtre." w:history="1">
        <w:r w:rsidRPr="003A49AA">
          <w:rPr>
            <w:rFonts w:ascii="Times New Roman" w:eastAsia="Times New Roman" w:hAnsi="Times New Roman" w:cs="Times New Roman"/>
            <w:color w:val="0000FF"/>
            <w:sz w:val="24"/>
            <w:szCs w:val="24"/>
            <w:u w:val="single"/>
            <w:lang w:val="en-US" w:eastAsia="fr-FR"/>
          </w:rPr>
          <w:t xml:space="preserve">Your PLN helps your PLC become a </w:t>
        </w:r>
        <w:proofErr w:type="spellStart"/>
        <w:r w:rsidRPr="003A49AA">
          <w:rPr>
            <w:rFonts w:ascii="Times New Roman" w:eastAsia="Times New Roman" w:hAnsi="Times New Roman" w:cs="Times New Roman"/>
            <w:color w:val="0000FF"/>
            <w:sz w:val="24"/>
            <w:szCs w:val="24"/>
            <w:u w:val="single"/>
            <w:lang w:val="en-US" w:eastAsia="fr-FR"/>
          </w:rPr>
          <w:t>CoP</w:t>
        </w:r>
      </w:hyperlink>
      <w:r w:rsidRPr="003A49AA">
        <w:rPr>
          <w:rFonts w:ascii="Times New Roman" w:eastAsia="Times New Roman" w:hAnsi="Times New Roman" w:cs="Times New Roman"/>
          <w:sz w:val="24"/>
          <w:szCs w:val="24"/>
          <w:lang w:val="en-US" w:eastAsia="fr-FR"/>
        </w:rPr>
        <w:t>.</w:t>
      </w:r>
      <w:proofErr w:type="spellEnd"/>
      <w:r w:rsidRPr="003A49AA">
        <w:rPr>
          <w:rFonts w:ascii="Times New Roman" w:eastAsia="Times New Roman" w:hAnsi="Times New Roman" w:cs="Times New Roman"/>
          <w:sz w:val="24"/>
          <w:szCs w:val="24"/>
          <w:lang w:val="en-US" w:eastAsia="fr-FR"/>
        </w:rPr>
        <w:t xml:space="preserve"> </w:t>
      </w:r>
      <w:r w:rsidRPr="003A49AA">
        <w:rPr>
          <w:rFonts w:ascii="Times New Roman" w:eastAsia="Times New Roman" w:hAnsi="Times New Roman" w:cs="Times New Roman"/>
          <w:sz w:val="24"/>
          <w:szCs w:val="24"/>
          <w:lang w:eastAsia="fr-FR"/>
        </w:rPr>
        <w:t xml:space="preserve">Barbara Bray, </w:t>
      </w:r>
      <w:proofErr w:type="spellStart"/>
      <w:r w:rsidRPr="003A49AA">
        <w:rPr>
          <w:rFonts w:ascii="Times New Roman" w:eastAsia="Times New Roman" w:hAnsi="Times New Roman" w:cs="Times New Roman"/>
          <w:sz w:val="24"/>
          <w:szCs w:val="24"/>
          <w:lang w:eastAsia="fr-FR"/>
        </w:rPr>
        <w:t>Rethinking</w:t>
      </w:r>
      <w:proofErr w:type="spellEnd"/>
      <w:r w:rsidRPr="003A49AA">
        <w:rPr>
          <w:rFonts w:ascii="Times New Roman" w:eastAsia="Times New Roman" w:hAnsi="Times New Roman" w:cs="Times New Roman"/>
          <w:sz w:val="24"/>
          <w:szCs w:val="24"/>
          <w:lang w:eastAsia="fr-FR"/>
        </w:rPr>
        <w:t xml:space="preserve"> Learning, 23 juin 2011</w:t>
      </w:r>
    </w:p>
    <w:p w:rsidR="003A49AA" w:rsidRDefault="003A49AA">
      <w:pPr>
        <w:rPr>
          <w:rFonts w:ascii="Times New Roman" w:eastAsia="Times New Roman" w:hAnsi="Times New Roman" w:cs="Times New Roman"/>
          <w:b/>
          <w:bCs/>
          <w:kern w:val="36"/>
          <w:sz w:val="48"/>
          <w:szCs w:val="48"/>
          <w:lang w:eastAsia="fr-FR"/>
        </w:rPr>
      </w:pPr>
      <w:r>
        <w:br w:type="page"/>
      </w:r>
    </w:p>
    <w:p w:rsidR="00E000CF" w:rsidRPr="001C2741" w:rsidRDefault="00E000CF" w:rsidP="00E000CF">
      <w:pPr>
        <w:pStyle w:val="Titre1"/>
        <w:rPr>
          <w:sz w:val="40"/>
        </w:rPr>
      </w:pPr>
      <w:bookmarkStart w:id="5" w:name="_Toc385784764"/>
      <w:r w:rsidRPr="001C2741">
        <w:rPr>
          <w:sz w:val="40"/>
        </w:rPr>
        <w:lastRenderedPageBreak/>
        <w:t>Article</w:t>
      </w:r>
      <w:r w:rsidR="001C2741" w:rsidRPr="001C2741">
        <w:rPr>
          <w:sz w:val="40"/>
        </w:rPr>
        <w:t xml:space="preserve"> </w:t>
      </w:r>
      <w:r w:rsidR="0008652D">
        <w:rPr>
          <w:sz w:val="40"/>
        </w:rPr>
        <w:t>4</w:t>
      </w:r>
      <w:r w:rsidRPr="001C2741">
        <w:rPr>
          <w:sz w:val="40"/>
        </w:rPr>
        <w:t xml:space="preserve"> B2i Lycées : Lancement d’un MOOC sur les compétences documentaires</w:t>
      </w:r>
      <w:bookmarkEnd w:id="5"/>
    </w:p>
    <w:p w:rsidR="00E000CF" w:rsidRPr="001C2741" w:rsidRDefault="00E000CF" w:rsidP="001C2741">
      <w:pPr>
        <w:rPr>
          <w:sz w:val="18"/>
          <w:lang w:eastAsia="fr-FR"/>
        </w:rPr>
      </w:pPr>
      <w:hyperlink r:id="rId49" w:history="1">
        <w:r w:rsidRPr="001C2741">
          <w:rPr>
            <w:rStyle w:val="Lienhypertexte"/>
            <w:rFonts w:ascii="Times New Roman" w:eastAsia="Times New Roman" w:hAnsi="Times New Roman" w:cs="Times New Roman"/>
            <w:b/>
            <w:bCs/>
            <w:kern w:val="36"/>
            <w:sz w:val="24"/>
            <w:szCs w:val="48"/>
            <w:lang w:eastAsia="fr-FR"/>
          </w:rPr>
          <w:t>http://www.netpublic.fr/2014/04/b2i-lycees-lancement-d-un-mooc-sur-les-competences-documentaires/</w:t>
        </w:r>
      </w:hyperlink>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drawing>
          <wp:inline distT="0" distB="0" distL="0" distR="0" wp14:anchorId="4116A1C2" wp14:editId="1C485DDB">
            <wp:extent cx="5760720" cy="412486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4124862"/>
                    </a:xfrm>
                    <a:prstGeom prst="rect">
                      <a:avLst/>
                    </a:prstGeom>
                  </pic:spPr>
                </pic:pic>
              </a:graphicData>
            </a:graphic>
          </wp:inline>
        </w:drawing>
      </w:r>
      <w:r w:rsidRPr="00E000CF">
        <w:rPr>
          <w:rFonts w:ascii="Times New Roman" w:eastAsia="Times New Roman" w:hAnsi="Times New Roman" w:cs="Times New Roman"/>
          <w:sz w:val="24"/>
          <w:szCs w:val="24"/>
          <w:lang w:eastAsia="fr-FR"/>
        </w:rPr>
        <w:t>2 professeurs documentalistes (</w:t>
      </w:r>
      <w:r w:rsidRPr="00E000CF">
        <w:rPr>
          <w:rFonts w:ascii="Times New Roman" w:eastAsia="Times New Roman" w:hAnsi="Times New Roman" w:cs="Times New Roman"/>
          <w:b/>
          <w:bCs/>
          <w:sz w:val="24"/>
          <w:szCs w:val="24"/>
          <w:lang w:eastAsia="fr-FR"/>
        </w:rPr>
        <w:t xml:space="preserve">Alexandra </w:t>
      </w:r>
      <w:proofErr w:type="spellStart"/>
      <w:r w:rsidRPr="00E000CF">
        <w:rPr>
          <w:rFonts w:ascii="Times New Roman" w:eastAsia="Times New Roman" w:hAnsi="Times New Roman" w:cs="Times New Roman"/>
          <w:b/>
          <w:bCs/>
          <w:sz w:val="24"/>
          <w:szCs w:val="24"/>
          <w:lang w:eastAsia="fr-FR"/>
        </w:rPr>
        <w:t>Maurer</w:t>
      </w:r>
      <w:proofErr w:type="spellEnd"/>
      <w:r w:rsidRPr="00E000CF">
        <w:rPr>
          <w:rFonts w:ascii="Times New Roman" w:eastAsia="Times New Roman" w:hAnsi="Times New Roman" w:cs="Times New Roman"/>
          <w:b/>
          <w:bCs/>
          <w:sz w:val="24"/>
          <w:szCs w:val="24"/>
          <w:lang w:eastAsia="fr-FR"/>
        </w:rPr>
        <w:t xml:space="preserve"> et Denis Weiss</w:t>
      </w:r>
      <w:r w:rsidRPr="00E000CF">
        <w:rPr>
          <w:rFonts w:ascii="Times New Roman" w:eastAsia="Times New Roman" w:hAnsi="Times New Roman" w:cs="Times New Roman"/>
          <w:sz w:val="24"/>
          <w:szCs w:val="24"/>
          <w:lang w:eastAsia="fr-FR"/>
        </w:rPr>
        <w:t xml:space="preserve">) lancent le </w:t>
      </w:r>
      <w:hyperlink r:id="rId51" w:history="1">
        <w:r w:rsidRPr="00E000CF">
          <w:rPr>
            <w:rFonts w:ascii="Times New Roman" w:eastAsia="Times New Roman" w:hAnsi="Times New Roman" w:cs="Times New Roman"/>
            <w:b/>
            <w:bCs/>
            <w:color w:val="0000FF"/>
            <w:sz w:val="24"/>
            <w:szCs w:val="24"/>
            <w:u w:val="single"/>
            <w:lang w:eastAsia="fr-FR"/>
          </w:rPr>
          <w:t>B2i.mooc</w:t>
        </w:r>
      </w:hyperlink>
      <w:r w:rsidRPr="00E000CF">
        <w:rPr>
          <w:rFonts w:ascii="Times New Roman" w:eastAsia="Times New Roman" w:hAnsi="Times New Roman" w:cs="Times New Roman"/>
          <w:sz w:val="24"/>
          <w:szCs w:val="24"/>
          <w:lang w:eastAsia="fr-FR"/>
        </w:rPr>
        <w:t xml:space="preserve"> à destination des</w:t>
      </w:r>
      <w:r w:rsidRPr="00E000CF">
        <w:rPr>
          <w:rFonts w:ascii="Times New Roman" w:eastAsia="Times New Roman" w:hAnsi="Times New Roman" w:cs="Times New Roman"/>
          <w:b/>
          <w:bCs/>
          <w:sz w:val="24"/>
          <w:szCs w:val="24"/>
          <w:lang w:eastAsia="fr-FR"/>
        </w:rPr>
        <w:t xml:space="preserve"> lycéens</w:t>
      </w:r>
      <w:r w:rsidRPr="00E000CF">
        <w:rPr>
          <w:rFonts w:ascii="Times New Roman" w:eastAsia="Times New Roman" w:hAnsi="Times New Roman" w:cs="Times New Roman"/>
          <w:sz w:val="24"/>
          <w:szCs w:val="24"/>
          <w:lang w:eastAsia="fr-FR"/>
        </w:rPr>
        <w:t>. Ce</w:t>
      </w:r>
      <w:r w:rsidRPr="00E000CF">
        <w:rPr>
          <w:rFonts w:ascii="Times New Roman" w:eastAsia="Times New Roman" w:hAnsi="Times New Roman" w:cs="Times New Roman"/>
          <w:b/>
          <w:bCs/>
          <w:sz w:val="24"/>
          <w:szCs w:val="24"/>
          <w:lang w:eastAsia="fr-FR"/>
        </w:rPr>
        <w:t xml:space="preserve"> MOOC </w:t>
      </w:r>
      <w:r w:rsidRPr="00E000CF">
        <w:rPr>
          <w:rFonts w:ascii="Times New Roman" w:eastAsia="Times New Roman" w:hAnsi="Times New Roman" w:cs="Times New Roman"/>
          <w:sz w:val="24"/>
          <w:szCs w:val="24"/>
          <w:lang w:eastAsia="fr-FR"/>
        </w:rPr>
        <w:t xml:space="preserve">(cours en ligne ouvert et massif) diffusé en </w:t>
      </w:r>
      <w:proofErr w:type="spellStart"/>
      <w:r w:rsidRPr="00E000CF">
        <w:rPr>
          <w:rFonts w:ascii="Times New Roman" w:eastAsia="Times New Roman" w:hAnsi="Times New Roman" w:cs="Times New Roman"/>
          <w:b/>
          <w:bCs/>
          <w:sz w:val="24"/>
          <w:szCs w:val="24"/>
          <w:lang w:eastAsia="fr-FR"/>
        </w:rPr>
        <w:t>Creative</w:t>
      </w:r>
      <w:proofErr w:type="spellEnd"/>
      <w:r w:rsidRPr="00E000CF">
        <w:rPr>
          <w:rFonts w:ascii="Times New Roman" w:eastAsia="Times New Roman" w:hAnsi="Times New Roman" w:cs="Times New Roman"/>
          <w:b/>
          <w:bCs/>
          <w:sz w:val="24"/>
          <w:szCs w:val="24"/>
          <w:lang w:eastAsia="fr-FR"/>
        </w:rPr>
        <w:t xml:space="preserve"> Commons</w:t>
      </w:r>
      <w:r w:rsidRPr="00E000CF">
        <w:rPr>
          <w:rFonts w:ascii="Times New Roman" w:eastAsia="Times New Roman" w:hAnsi="Times New Roman" w:cs="Times New Roman"/>
          <w:sz w:val="24"/>
          <w:szCs w:val="24"/>
          <w:lang w:eastAsia="fr-FR"/>
        </w:rPr>
        <w:t xml:space="preserve"> propose de faciliter la validation du </w:t>
      </w:r>
      <w:r w:rsidRPr="00E000CF">
        <w:rPr>
          <w:rFonts w:ascii="Times New Roman" w:eastAsia="Times New Roman" w:hAnsi="Times New Roman" w:cs="Times New Roman"/>
          <w:b/>
          <w:bCs/>
          <w:sz w:val="24"/>
          <w:szCs w:val="24"/>
          <w:lang w:eastAsia="fr-FR"/>
        </w:rPr>
        <w:t>B2i Lycées</w:t>
      </w:r>
      <w:r w:rsidRPr="00E000CF">
        <w:rPr>
          <w:rFonts w:ascii="Times New Roman" w:eastAsia="Times New Roman" w:hAnsi="Times New Roman" w:cs="Times New Roman"/>
          <w:sz w:val="24"/>
          <w:szCs w:val="24"/>
          <w:lang w:eastAsia="fr-FR"/>
        </w:rPr>
        <w:t xml:space="preserve"> à travers un parcours d’acquisition de compétences documentaires.</w:t>
      </w:r>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Renseignements et inscription à cette adresse : </w:t>
      </w:r>
      <w:hyperlink r:id="rId52" w:history="1">
        <w:r w:rsidRPr="00E000CF">
          <w:rPr>
            <w:rFonts w:ascii="Times New Roman" w:eastAsia="Times New Roman" w:hAnsi="Times New Roman" w:cs="Times New Roman"/>
            <w:b/>
            <w:bCs/>
            <w:color w:val="0000FF"/>
            <w:sz w:val="24"/>
            <w:szCs w:val="24"/>
            <w:u w:val="single"/>
            <w:lang w:eastAsia="fr-FR"/>
          </w:rPr>
          <w:t>http://lisletdelisle.fr/moocs/mediateks</w:t>
        </w:r>
      </w:hyperlink>
      <w:r w:rsidRPr="00E000CF">
        <w:rPr>
          <w:rFonts w:ascii="Times New Roman" w:eastAsia="Times New Roman" w:hAnsi="Times New Roman" w:cs="Times New Roman"/>
          <w:sz w:val="24"/>
          <w:szCs w:val="24"/>
          <w:lang w:eastAsia="fr-FR"/>
        </w:rPr>
        <w:t>.</w:t>
      </w:r>
    </w:p>
    <w:p w:rsidR="00E000CF" w:rsidRPr="00E000CF" w:rsidRDefault="00E000CF" w:rsidP="00E000C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E000CF">
        <w:rPr>
          <w:rFonts w:ascii="Times New Roman" w:eastAsia="Times New Roman" w:hAnsi="Times New Roman" w:cs="Times New Roman"/>
          <w:b/>
          <w:bCs/>
          <w:sz w:val="36"/>
          <w:szCs w:val="36"/>
          <w:lang w:eastAsia="fr-FR"/>
        </w:rPr>
        <w:t>6 modules pédagogiques sur la recherche d’information et la production de documents numériques</w:t>
      </w:r>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Le </w:t>
      </w:r>
      <w:hyperlink r:id="rId53" w:history="1">
        <w:r w:rsidRPr="00E000CF">
          <w:rPr>
            <w:rFonts w:ascii="Times New Roman" w:eastAsia="Times New Roman" w:hAnsi="Times New Roman" w:cs="Times New Roman"/>
            <w:b/>
            <w:bCs/>
            <w:color w:val="0000FF"/>
            <w:sz w:val="24"/>
            <w:szCs w:val="24"/>
            <w:u w:val="single"/>
            <w:lang w:eastAsia="fr-FR"/>
          </w:rPr>
          <w:t>B2i.mooc</w:t>
        </w:r>
      </w:hyperlink>
      <w:r w:rsidRPr="00E000CF">
        <w:rPr>
          <w:rFonts w:ascii="Times New Roman" w:eastAsia="Times New Roman" w:hAnsi="Times New Roman" w:cs="Times New Roman"/>
          <w:sz w:val="24"/>
          <w:szCs w:val="24"/>
          <w:lang w:eastAsia="fr-FR"/>
        </w:rPr>
        <w:t xml:space="preserve"> comprend </w:t>
      </w:r>
      <w:r w:rsidRPr="00E000CF">
        <w:rPr>
          <w:rFonts w:ascii="Times New Roman" w:eastAsia="Times New Roman" w:hAnsi="Times New Roman" w:cs="Times New Roman"/>
          <w:b/>
          <w:bCs/>
          <w:sz w:val="24"/>
          <w:szCs w:val="24"/>
          <w:lang w:eastAsia="fr-FR"/>
        </w:rPr>
        <w:t>6 modules sur la recherche d’information et la production de documents numériques</w:t>
      </w:r>
      <w:r w:rsidRPr="00E000CF">
        <w:rPr>
          <w:rFonts w:ascii="Times New Roman" w:eastAsia="Times New Roman" w:hAnsi="Times New Roman" w:cs="Times New Roman"/>
          <w:sz w:val="24"/>
          <w:szCs w:val="24"/>
          <w:lang w:eastAsia="fr-FR"/>
        </w:rPr>
        <w:t xml:space="preserve"> (avec plus de 150 pages et 120 exercices) permettant de travailler les </w:t>
      </w:r>
      <w:r w:rsidRPr="00E000CF">
        <w:rPr>
          <w:rFonts w:ascii="Times New Roman" w:eastAsia="Times New Roman" w:hAnsi="Times New Roman" w:cs="Times New Roman"/>
          <w:b/>
          <w:bCs/>
          <w:sz w:val="24"/>
          <w:szCs w:val="24"/>
          <w:lang w:eastAsia="fr-FR"/>
        </w:rPr>
        <w:t xml:space="preserve">5 principaux objectifs du B2i </w:t>
      </w:r>
      <w:r w:rsidRPr="00E000CF">
        <w:rPr>
          <w:rFonts w:ascii="Times New Roman" w:eastAsia="Times New Roman" w:hAnsi="Times New Roman" w:cs="Times New Roman"/>
          <w:sz w:val="24"/>
          <w:szCs w:val="24"/>
          <w:lang w:eastAsia="fr-FR"/>
        </w:rPr>
        <w:t>:</w:t>
      </w:r>
    </w:p>
    <w:p w:rsidR="00E000CF" w:rsidRPr="00E000CF" w:rsidRDefault="00E000CF" w:rsidP="00E000C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Travailler dans un environnement numérique évolutif</w:t>
      </w:r>
    </w:p>
    <w:p w:rsidR="00E000CF" w:rsidRPr="00E000CF" w:rsidRDefault="00E000CF" w:rsidP="00E000C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Être responsable</w:t>
      </w:r>
    </w:p>
    <w:p w:rsidR="00E000CF" w:rsidRPr="00E000CF" w:rsidRDefault="00E000CF" w:rsidP="00E000C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Produire, traiter, exploiter et diffuser des documents numériques</w:t>
      </w:r>
    </w:p>
    <w:p w:rsidR="00E000CF" w:rsidRPr="00E000CF" w:rsidRDefault="00E000CF" w:rsidP="00E000C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lastRenderedPageBreak/>
        <w:t>Organiser la recherche d’informations</w:t>
      </w:r>
    </w:p>
    <w:p w:rsidR="00E000CF" w:rsidRPr="00E000CF" w:rsidRDefault="00E000CF" w:rsidP="00E000C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Communiquer, travailler en réseau et collaborer</w:t>
      </w:r>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Chacun des </w:t>
      </w:r>
      <w:r w:rsidRPr="00E000CF">
        <w:rPr>
          <w:rFonts w:ascii="Times New Roman" w:eastAsia="Times New Roman" w:hAnsi="Times New Roman" w:cs="Times New Roman"/>
          <w:b/>
          <w:bCs/>
          <w:sz w:val="24"/>
          <w:szCs w:val="24"/>
          <w:lang w:eastAsia="fr-FR"/>
        </w:rPr>
        <w:t>modules</w:t>
      </w:r>
      <w:r w:rsidRPr="00E000CF">
        <w:rPr>
          <w:rFonts w:ascii="Times New Roman" w:eastAsia="Times New Roman" w:hAnsi="Times New Roman" w:cs="Times New Roman"/>
          <w:sz w:val="24"/>
          <w:szCs w:val="24"/>
          <w:lang w:eastAsia="fr-FR"/>
        </w:rPr>
        <w:t xml:space="preserve"> contient :</w:t>
      </w:r>
    </w:p>
    <w:p w:rsidR="00E000CF" w:rsidRPr="00E000CF" w:rsidRDefault="00E000CF" w:rsidP="00E000C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des cours pour comprendre,</w:t>
      </w:r>
    </w:p>
    <w:p w:rsidR="00E000CF" w:rsidRPr="00E000CF" w:rsidRDefault="00E000CF" w:rsidP="00E000C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des activités pour s’exercer,</w:t>
      </w:r>
    </w:p>
    <w:p w:rsidR="00E000CF" w:rsidRPr="00E000CF" w:rsidRDefault="00E000CF" w:rsidP="00E000C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une feuille de positionnement pour attester de la maîtrise des compétences,</w:t>
      </w:r>
    </w:p>
    <w:p w:rsidR="00E000CF" w:rsidRPr="00E000CF" w:rsidRDefault="00E000CF" w:rsidP="00E000C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des modules associés.</w:t>
      </w:r>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Le </w:t>
      </w:r>
      <w:r w:rsidRPr="00E000CF">
        <w:rPr>
          <w:rFonts w:ascii="Times New Roman" w:eastAsia="Times New Roman" w:hAnsi="Times New Roman" w:cs="Times New Roman"/>
          <w:b/>
          <w:bCs/>
          <w:sz w:val="24"/>
          <w:szCs w:val="24"/>
          <w:lang w:eastAsia="fr-FR"/>
        </w:rPr>
        <w:t>B2i.mooc</w:t>
      </w:r>
      <w:r w:rsidRPr="00E000CF">
        <w:rPr>
          <w:rFonts w:ascii="Times New Roman" w:eastAsia="Times New Roman" w:hAnsi="Times New Roman" w:cs="Times New Roman"/>
          <w:sz w:val="24"/>
          <w:szCs w:val="24"/>
          <w:lang w:eastAsia="fr-FR"/>
        </w:rPr>
        <w:t xml:space="preserve"> est proposé sous une forme expérimentale. L’objectif des 2 auteurs est de proposer une version aboutie pour la rentrée 2014.</w:t>
      </w:r>
      <w:r w:rsidRPr="00E000CF">
        <w:rPr>
          <w:rFonts w:ascii="Times New Roman" w:eastAsia="Times New Roman" w:hAnsi="Times New Roman" w:cs="Times New Roman"/>
          <w:sz w:val="24"/>
          <w:szCs w:val="24"/>
          <w:lang w:eastAsia="fr-FR"/>
        </w:rPr>
        <w:br/>
      </w:r>
      <w:r w:rsidRPr="00E000CF">
        <w:rPr>
          <w:rFonts w:ascii="Times New Roman" w:eastAsia="Times New Roman" w:hAnsi="Times New Roman" w:cs="Times New Roman"/>
          <w:i/>
          <w:iCs/>
          <w:sz w:val="24"/>
          <w:szCs w:val="24"/>
          <w:lang w:eastAsia="fr-FR"/>
        </w:rPr>
        <w:br/>
        <w:t xml:space="preserve">(Via </w:t>
      </w:r>
      <w:hyperlink r:id="rId54" w:history="1">
        <w:r w:rsidRPr="00E000CF">
          <w:rPr>
            <w:rFonts w:ascii="Times New Roman" w:eastAsia="Times New Roman" w:hAnsi="Times New Roman" w:cs="Times New Roman"/>
            <w:b/>
            <w:bCs/>
            <w:i/>
            <w:iCs/>
            <w:color w:val="0000FF"/>
            <w:sz w:val="24"/>
            <w:szCs w:val="24"/>
            <w:u w:val="single"/>
            <w:lang w:eastAsia="fr-FR"/>
          </w:rPr>
          <w:t>Docs pour Docs</w:t>
        </w:r>
      </w:hyperlink>
      <w:r w:rsidRPr="00E000CF">
        <w:rPr>
          <w:rFonts w:ascii="Times New Roman" w:eastAsia="Times New Roman" w:hAnsi="Times New Roman" w:cs="Times New Roman"/>
          <w:i/>
          <w:iCs/>
          <w:sz w:val="24"/>
          <w:szCs w:val="24"/>
          <w:lang w:eastAsia="fr-FR"/>
        </w:rPr>
        <w:t>).</w:t>
      </w:r>
    </w:p>
    <w:p w:rsidR="00E000CF" w:rsidRPr="00E000CF" w:rsidRDefault="00E000CF" w:rsidP="00E000C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mc:AlternateContent>
          <mc:Choice Requires="wps">
            <w:drawing>
              <wp:inline distT="0" distB="0" distL="0" distR="0">
                <wp:extent cx="180975" cy="180975"/>
                <wp:effectExtent l="0" t="0" r="0" b="0"/>
                <wp:docPr id="2" name="Rectangle 2" descr="AddInt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AddInto" href="http://www.addinto.com/ai/?type=bkmk"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" o:button="t" filled="f" stroked="f">
                <v:fill o:detectmouseclick="t"/>
                <o:lock v:ext="edit" aspectratio="t"/>
                <w10:anchorlock/>
              </v:rect>
            </w:pict>
          </mc:Fallback>
        </mc:AlternateContent>
      </w:r>
    </w:p>
    <w:p w:rsidR="00E000CF" w:rsidRPr="00E000CF" w:rsidRDefault="00E000CF" w:rsidP="00E000CF">
      <w:pPr>
        <w:spacing w:after="0" w:line="240" w:lineRule="auto"/>
        <w:rPr>
          <w:rFonts w:ascii="Times New Roman" w:eastAsia="Times New Roman" w:hAnsi="Times New Roman" w:cs="Times New Roman"/>
          <w:sz w:val="24"/>
          <w:szCs w:val="24"/>
          <w:lang w:eastAsia="fr-FR"/>
        </w:rPr>
      </w:pPr>
    </w:p>
    <w:p w:rsidR="00E000CF" w:rsidRPr="00E000CF" w:rsidRDefault="00E000CF" w:rsidP="00E000CF">
      <w:pPr>
        <w:spacing w:after="0"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Licence : </w:t>
      </w:r>
      <w:hyperlink r:id="rId56" w:tgtFrame="_blank" w:history="1">
        <w:r>
          <w:rPr>
            <w:rFonts w:ascii="Times New Roman" w:eastAsia="Times New Roman" w:hAnsi="Times New Roman" w:cs="Times New Roman"/>
            <w:noProof/>
            <w:color w:val="0000FF"/>
            <w:sz w:val="24"/>
            <w:szCs w:val="24"/>
            <w:lang w:eastAsia="fr-FR"/>
          </w:rPr>
          <mc:AlternateContent>
            <mc:Choice Requires="wps">
              <w:drawing>
                <wp:inline distT="0" distB="0" distL="0" distR="0">
                  <wp:extent cx="304800" cy="304800"/>
                  <wp:effectExtent l="0" t="0" r="0" b="0"/>
                  <wp:docPr id="1" name="Rectangle 1" descr="Lire la licence dans une nouvelle fenêtre">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Lire la licence dans une nouvelle fenêtre" href="http://creativecommons.org/licenses/by-nc-sa/2.0/fr/"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" o:button="t" filled="f" stroked="f">
                  <v:fill o:detectmouseclick="t"/>
                  <o:lock v:ext="edit" aspectratio="t"/>
                  <w10:anchorlock/>
                </v:rect>
              </w:pict>
            </mc:Fallback>
          </mc:AlternateContent>
        </w:r>
        <w:r w:rsidRPr="00E000CF">
          <w:rPr>
            <w:rFonts w:ascii="Times New Roman" w:eastAsia="Times New Roman" w:hAnsi="Times New Roman" w:cs="Times New Roman"/>
            <w:color w:val="0000FF"/>
            <w:sz w:val="24"/>
            <w:szCs w:val="24"/>
            <w:u w:val="single"/>
            <w:lang w:eastAsia="fr-FR"/>
          </w:rPr>
          <w:t> </w:t>
        </w:r>
        <w:proofErr w:type="spellStart"/>
        <w:r w:rsidRPr="00E000CF">
          <w:rPr>
            <w:rFonts w:ascii="Times New Roman" w:eastAsia="Times New Roman" w:hAnsi="Times New Roman" w:cs="Times New Roman"/>
            <w:color w:val="0000FF"/>
            <w:sz w:val="24"/>
            <w:szCs w:val="24"/>
            <w:u w:val="single"/>
            <w:lang w:eastAsia="fr-FR"/>
          </w:rPr>
          <w:t>Creative</w:t>
        </w:r>
        <w:proofErr w:type="spellEnd"/>
        <w:r w:rsidRPr="00E000CF">
          <w:rPr>
            <w:rFonts w:ascii="Times New Roman" w:eastAsia="Times New Roman" w:hAnsi="Times New Roman" w:cs="Times New Roman"/>
            <w:color w:val="0000FF"/>
            <w:sz w:val="24"/>
            <w:szCs w:val="24"/>
            <w:u w:val="single"/>
            <w:lang w:eastAsia="fr-FR"/>
          </w:rPr>
          <w:t xml:space="preserve"> Commons by-</w:t>
        </w:r>
        <w:proofErr w:type="spellStart"/>
        <w:r w:rsidRPr="00E000CF">
          <w:rPr>
            <w:rFonts w:ascii="Times New Roman" w:eastAsia="Times New Roman" w:hAnsi="Times New Roman" w:cs="Times New Roman"/>
            <w:color w:val="0000FF"/>
            <w:sz w:val="24"/>
            <w:szCs w:val="24"/>
            <w:u w:val="single"/>
            <w:lang w:eastAsia="fr-FR"/>
          </w:rPr>
          <w:t>nc</w:t>
        </w:r>
        <w:proofErr w:type="spellEnd"/>
        <w:r w:rsidRPr="00E000CF">
          <w:rPr>
            <w:rFonts w:ascii="Times New Roman" w:eastAsia="Times New Roman" w:hAnsi="Times New Roman" w:cs="Times New Roman"/>
            <w:color w:val="0000FF"/>
            <w:sz w:val="24"/>
            <w:szCs w:val="24"/>
            <w:u w:val="single"/>
            <w:lang w:eastAsia="fr-FR"/>
          </w:rPr>
          <w:t>-sa</w:t>
        </w:r>
      </w:hyperlink>
      <w:r w:rsidRPr="00E000CF">
        <w:rPr>
          <w:rFonts w:ascii="Times New Roman" w:eastAsia="Times New Roman" w:hAnsi="Times New Roman" w:cs="Times New Roman"/>
          <w:sz w:val="24"/>
          <w:szCs w:val="24"/>
          <w:lang w:eastAsia="fr-FR"/>
        </w:rPr>
        <w:br/>
        <w:t>Géographie : France</w:t>
      </w:r>
    </w:p>
    <w:p w:rsidR="00E000CF" w:rsidRPr="00E000CF" w:rsidRDefault="00E000CF" w:rsidP="00E000CF">
      <w:pPr>
        <w:spacing w:before="100" w:beforeAutospacing="1" w:after="100" w:afterAutospacing="1"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Mots-clés : </w:t>
      </w:r>
      <w:hyperlink r:id="rId57" w:history="1">
        <w:proofErr w:type="spellStart"/>
        <w:r w:rsidRPr="00E000CF">
          <w:rPr>
            <w:rFonts w:ascii="Times New Roman" w:eastAsia="Times New Roman" w:hAnsi="Times New Roman" w:cs="Times New Roman"/>
            <w:color w:val="0000FF"/>
            <w:sz w:val="24"/>
            <w:szCs w:val="24"/>
            <w:u w:val="single"/>
            <w:lang w:eastAsia="fr-FR"/>
          </w:rPr>
          <w:t>identite</w:t>
        </w:r>
        <w:proofErr w:type="spellEnd"/>
        <w:r w:rsidRPr="00E000CF">
          <w:rPr>
            <w:rFonts w:ascii="Times New Roman" w:eastAsia="Times New Roman" w:hAnsi="Times New Roman" w:cs="Times New Roman"/>
            <w:color w:val="0000FF"/>
            <w:sz w:val="24"/>
            <w:szCs w:val="24"/>
            <w:u w:val="single"/>
            <w:lang w:eastAsia="fr-FR"/>
          </w:rPr>
          <w:t xml:space="preserve"> </w:t>
        </w:r>
        <w:proofErr w:type="spellStart"/>
        <w:r w:rsidRPr="00E000CF">
          <w:rPr>
            <w:rFonts w:ascii="Times New Roman" w:eastAsia="Times New Roman" w:hAnsi="Times New Roman" w:cs="Times New Roman"/>
            <w:color w:val="0000FF"/>
            <w:sz w:val="24"/>
            <w:szCs w:val="24"/>
            <w:u w:val="single"/>
            <w:lang w:eastAsia="fr-FR"/>
          </w:rPr>
          <w:t>numerique</w:t>
        </w:r>
        <w:proofErr w:type="spellEnd"/>
      </w:hyperlink>
      <w:r w:rsidRPr="00E000CF">
        <w:rPr>
          <w:rFonts w:ascii="Times New Roman" w:eastAsia="Times New Roman" w:hAnsi="Times New Roman" w:cs="Times New Roman"/>
          <w:sz w:val="24"/>
          <w:szCs w:val="24"/>
          <w:lang w:eastAsia="fr-FR"/>
        </w:rPr>
        <w:t xml:space="preserve">, </w:t>
      </w:r>
      <w:hyperlink r:id="rId58" w:history="1">
        <w:r w:rsidRPr="00E000CF">
          <w:rPr>
            <w:rFonts w:ascii="Times New Roman" w:eastAsia="Times New Roman" w:hAnsi="Times New Roman" w:cs="Times New Roman"/>
            <w:color w:val="0000FF"/>
            <w:sz w:val="24"/>
            <w:szCs w:val="24"/>
            <w:u w:val="single"/>
            <w:lang w:eastAsia="fr-FR"/>
          </w:rPr>
          <w:t>MOOC</w:t>
        </w:r>
      </w:hyperlink>
      <w:r w:rsidRPr="00E000CF">
        <w:rPr>
          <w:rFonts w:ascii="Times New Roman" w:eastAsia="Times New Roman" w:hAnsi="Times New Roman" w:cs="Times New Roman"/>
          <w:sz w:val="24"/>
          <w:szCs w:val="24"/>
          <w:lang w:eastAsia="fr-FR"/>
        </w:rPr>
        <w:t xml:space="preserve">, </w:t>
      </w:r>
      <w:hyperlink r:id="rId59" w:history="1">
        <w:r w:rsidRPr="00E000CF">
          <w:rPr>
            <w:rFonts w:ascii="Times New Roman" w:eastAsia="Times New Roman" w:hAnsi="Times New Roman" w:cs="Times New Roman"/>
            <w:color w:val="0000FF"/>
            <w:sz w:val="24"/>
            <w:szCs w:val="24"/>
            <w:u w:val="single"/>
            <w:lang w:eastAsia="fr-FR"/>
          </w:rPr>
          <w:t>moteur de recherche</w:t>
        </w:r>
      </w:hyperlink>
      <w:r w:rsidRPr="00E000CF">
        <w:rPr>
          <w:rFonts w:ascii="Times New Roman" w:eastAsia="Times New Roman" w:hAnsi="Times New Roman" w:cs="Times New Roman"/>
          <w:sz w:val="24"/>
          <w:szCs w:val="24"/>
          <w:lang w:eastAsia="fr-FR"/>
        </w:rPr>
        <w:t xml:space="preserve">, </w:t>
      </w:r>
      <w:hyperlink r:id="rId60" w:history="1">
        <w:r w:rsidRPr="00E000CF">
          <w:rPr>
            <w:rFonts w:ascii="Times New Roman" w:eastAsia="Times New Roman" w:hAnsi="Times New Roman" w:cs="Times New Roman"/>
            <w:color w:val="0000FF"/>
            <w:sz w:val="24"/>
            <w:szCs w:val="24"/>
            <w:u w:val="single"/>
            <w:lang w:eastAsia="fr-FR"/>
          </w:rPr>
          <w:t>pédagogie</w:t>
        </w:r>
      </w:hyperlink>
      <w:r w:rsidRPr="00E000CF">
        <w:rPr>
          <w:rFonts w:ascii="Times New Roman" w:eastAsia="Times New Roman" w:hAnsi="Times New Roman" w:cs="Times New Roman"/>
          <w:sz w:val="24"/>
          <w:szCs w:val="24"/>
          <w:lang w:eastAsia="fr-FR"/>
        </w:rPr>
        <w:t xml:space="preserve">, </w:t>
      </w:r>
      <w:hyperlink r:id="rId61" w:history="1">
        <w:r w:rsidRPr="00E000CF">
          <w:rPr>
            <w:rFonts w:ascii="Times New Roman" w:eastAsia="Times New Roman" w:hAnsi="Times New Roman" w:cs="Times New Roman"/>
            <w:color w:val="0000FF"/>
            <w:sz w:val="24"/>
            <w:szCs w:val="24"/>
            <w:u w:val="single"/>
            <w:lang w:eastAsia="fr-FR"/>
          </w:rPr>
          <w:t>recherche d'information</w:t>
        </w:r>
      </w:hyperlink>
      <w:r w:rsidRPr="00E000CF">
        <w:rPr>
          <w:rFonts w:ascii="Times New Roman" w:eastAsia="Times New Roman" w:hAnsi="Times New Roman" w:cs="Times New Roman"/>
          <w:sz w:val="24"/>
          <w:szCs w:val="24"/>
          <w:lang w:eastAsia="fr-FR"/>
        </w:rPr>
        <w:t xml:space="preserve">, </w:t>
      </w:r>
      <w:hyperlink r:id="rId62" w:history="1">
        <w:r w:rsidRPr="00E000CF">
          <w:rPr>
            <w:rFonts w:ascii="Times New Roman" w:eastAsia="Times New Roman" w:hAnsi="Times New Roman" w:cs="Times New Roman"/>
            <w:color w:val="0000FF"/>
            <w:sz w:val="24"/>
            <w:szCs w:val="24"/>
            <w:u w:val="single"/>
            <w:lang w:eastAsia="fr-FR"/>
          </w:rPr>
          <w:t>veille</w:t>
        </w:r>
      </w:hyperlink>
    </w:p>
    <w:p w:rsidR="00E000CF" w:rsidRPr="00E000CF" w:rsidRDefault="00E000CF" w:rsidP="00E000CF">
      <w:pPr>
        <w:spacing w:after="0" w:line="240" w:lineRule="auto"/>
        <w:rPr>
          <w:rFonts w:ascii="Times New Roman" w:eastAsia="Times New Roman" w:hAnsi="Times New Roman" w:cs="Times New Roman"/>
          <w:sz w:val="24"/>
          <w:szCs w:val="24"/>
          <w:lang w:eastAsia="fr-FR"/>
        </w:rPr>
      </w:pPr>
      <w:r w:rsidRPr="00E000CF">
        <w:rPr>
          <w:rFonts w:ascii="Times New Roman" w:eastAsia="Times New Roman" w:hAnsi="Times New Roman" w:cs="Times New Roman"/>
          <w:sz w:val="24"/>
          <w:szCs w:val="24"/>
          <w:lang w:eastAsia="fr-FR"/>
        </w:rPr>
        <w:t xml:space="preserve">Posté par </w:t>
      </w:r>
      <w:r w:rsidRPr="00E000CF">
        <w:rPr>
          <w:rFonts w:ascii="Times New Roman" w:eastAsia="Times New Roman" w:hAnsi="Times New Roman" w:cs="Times New Roman"/>
          <w:b/>
          <w:bCs/>
          <w:sz w:val="24"/>
          <w:szCs w:val="24"/>
          <w:lang w:eastAsia="fr-FR"/>
        </w:rPr>
        <w:t>Jean-Luc Raymond</w:t>
      </w:r>
      <w:r w:rsidRPr="00E000CF">
        <w:rPr>
          <w:rFonts w:ascii="Times New Roman" w:eastAsia="Times New Roman" w:hAnsi="Times New Roman" w:cs="Times New Roman"/>
          <w:sz w:val="24"/>
          <w:szCs w:val="24"/>
          <w:lang w:eastAsia="fr-FR"/>
        </w:rPr>
        <w:t xml:space="preserve"> le Samedi 19 avril 2014 </w:t>
      </w:r>
      <w:r w:rsidRPr="00E000CF">
        <w:rPr>
          <w:rFonts w:ascii="Times New Roman" w:eastAsia="Times New Roman" w:hAnsi="Times New Roman" w:cs="Times New Roman"/>
          <w:sz w:val="24"/>
          <w:szCs w:val="24"/>
          <w:lang w:eastAsia="fr-FR"/>
        </w:rPr>
        <w:br/>
        <w:t>Crédit média : B2i.mooc</w:t>
      </w:r>
      <w:r w:rsidRPr="00E000CF">
        <w:rPr>
          <w:rFonts w:ascii="Times New Roman" w:eastAsia="Times New Roman" w:hAnsi="Times New Roman" w:cs="Times New Roman"/>
          <w:sz w:val="24"/>
          <w:szCs w:val="24"/>
          <w:lang w:eastAsia="fr-FR"/>
        </w:rPr>
        <w:br/>
        <w:t xml:space="preserve">Catégories : </w:t>
      </w:r>
      <w:hyperlink r:id="rId63" w:tooltip="Voir tous les articles dans Autoformation, guides" w:history="1">
        <w:r w:rsidRPr="00E000CF">
          <w:rPr>
            <w:rFonts w:ascii="Times New Roman" w:eastAsia="Times New Roman" w:hAnsi="Times New Roman" w:cs="Times New Roman"/>
            <w:color w:val="0000FF"/>
            <w:sz w:val="24"/>
            <w:szCs w:val="24"/>
            <w:u w:val="single"/>
            <w:lang w:eastAsia="fr-FR"/>
          </w:rPr>
          <w:t>Autoformation, guides</w:t>
        </w:r>
      </w:hyperlink>
      <w:r w:rsidRPr="00E000CF">
        <w:rPr>
          <w:rFonts w:ascii="Times New Roman" w:eastAsia="Times New Roman" w:hAnsi="Times New Roman" w:cs="Times New Roman"/>
          <w:sz w:val="24"/>
          <w:szCs w:val="24"/>
          <w:lang w:eastAsia="fr-FR"/>
        </w:rPr>
        <w:t xml:space="preserve">, </w:t>
      </w:r>
      <w:hyperlink r:id="rId64" w:tooltip="Voir tous les articles dans Blog NetPublic" w:history="1">
        <w:r w:rsidRPr="00E000CF">
          <w:rPr>
            <w:rFonts w:ascii="Times New Roman" w:eastAsia="Times New Roman" w:hAnsi="Times New Roman" w:cs="Times New Roman"/>
            <w:color w:val="0000FF"/>
            <w:sz w:val="24"/>
            <w:szCs w:val="24"/>
            <w:u w:val="single"/>
            <w:lang w:eastAsia="fr-FR"/>
          </w:rPr>
          <w:t xml:space="preserve">Blog </w:t>
        </w:r>
        <w:proofErr w:type="spellStart"/>
        <w:r w:rsidRPr="00E000CF">
          <w:rPr>
            <w:rFonts w:ascii="Times New Roman" w:eastAsia="Times New Roman" w:hAnsi="Times New Roman" w:cs="Times New Roman"/>
            <w:color w:val="0000FF"/>
            <w:sz w:val="24"/>
            <w:szCs w:val="24"/>
            <w:u w:val="single"/>
            <w:lang w:eastAsia="fr-FR"/>
          </w:rPr>
          <w:t>NetPublic</w:t>
        </w:r>
        <w:proofErr w:type="spellEnd"/>
      </w:hyperlink>
      <w:r w:rsidRPr="00E000CF">
        <w:rPr>
          <w:rFonts w:ascii="Times New Roman" w:eastAsia="Times New Roman" w:hAnsi="Times New Roman" w:cs="Times New Roman"/>
          <w:sz w:val="24"/>
          <w:szCs w:val="24"/>
          <w:lang w:eastAsia="fr-FR"/>
        </w:rPr>
        <w:t xml:space="preserve">, </w:t>
      </w:r>
      <w:hyperlink r:id="rId65" w:tooltip="Voir tous les articles dans Création multimédia" w:history="1">
        <w:r w:rsidRPr="00E000CF">
          <w:rPr>
            <w:rFonts w:ascii="Times New Roman" w:eastAsia="Times New Roman" w:hAnsi="Times New Roman" w:cs="Times New Roman"/>
            <w:color w:val="0000FF"/>
            <w:sz w:val="24"/>
            <w:szCs w:val="24"/>
            <w:u w:val="single"/>
            <w:lang w:eastAsia="fr-FR"/>
          </w:rPr>
          <w:t>Création multimédia</w:t>
        </w:r>
      </w:hyperlink>
      <w:r w:rsidRPr="00E000CF">
        <w:rPr>
          <w:rFonts w:ascii="Times New Roman" w:eastAsia="Times New Roman" w:hAnsi="Times New Roman" w:cs="Times New Roman"/>
          <w:sz w:val="24"/>
          <w:szCs w:val="24"/>
          <w:lang w:eastAsia="fr-FR"/>
        </w:rPr>
        <w:t xml:space="preserve">, </w:t>
      </w:r>
      <w:hyperlink r:id="rId66" w:tooltip="Voir tous les articles dans Culture, éducation" w:history="1">
        <w:r w:rsidRPr="00E000CF">
          <w:rPr>
            <w:rFonts w:ascii="Times New Roman" w:eastAsia="Times New Roman" w:hAnsi="Times New Roman" w:cs="Times New Roman"/>
            <w:color w:val="0000FF"/>
            <w:sz w:val="24"/>
            <w:szCs w:val="24"/>
            <w:u w:val="single"/>
            <w:lang w:eastAsia="fr-FR"/>
          </w:rPr>
          <w:t>Culture, éducation</w:t>
        </w:r>
      </w:hyperlink>
      <w:r w:rsidRPr="00E000CF">
        <w:rPr>
          <w:rFonts w:ascii="Times New Roman" w:eastAsia="Times New Roman" w:hAnsi="Times New Roman" w:cs="Times New Roman"/>
          <w:sz w:val="24"/>
          <w:szCs w:val="24"/>
          <w:lang w:eastAsia="fr-FR"/>
        </w:rPr>
        <w:t xml:space="preserve">, </w:t>
      </w:r>
      <w:hyperlink r:id="rId67" w:tooltip="Voir tous les articles dans Droit, netiquette, sécurité" w:history="1">
        <w:r w:rsidRPr="00E000CF">
          <w:rPr>
            <w:rFonts w:ascii="Times New Roman" w:eastAsia="Times New Roman" w:hAnsi="Times New Roman" w:cs="Times New Roman"/>
            <w:color w:val="0000FF"/>
            <w:sz w:val="24"/>
            <w:szCs w:val="24"/>
            <w:u w:val="single"/>
            <w:lang w:eastAsia="fr-FR"/>
          </w:rPr>
          <w:t>Droit, netiquette, sécurité</w:t>
        </w:r>
      </w:hyperlink>
      <w:r w:rsidRPr="00E000CF">
        <w:rPr>
          <w:rFonts w:ascii="Times New Roman" w:eastAsia="Times New Roman" w:hAnsi="Times New Roman" w:cs="Times New Roman"/>
          <w:sz w:val="24"/>
          <w:szCs w:val="24"/>
          <w:lang w:eastAsia="fr-FR"/>
        </w:rPr>
        <w:t xml:space="preserve">, </w:t>
      </w:r>
      <w:hyperlink r:id="rId68" w:tooltip="Voir tous les articles dans Formation Internet" w:history="1">
        <w:r w:rsidRPr="00E000CF">
          <w:rPr>
            <w:rFonts w:ascii="Times New Roman" w:eastAsia="Times New Roman" w:hAnsi="Times New Roman" w:cs="Times New Roman"/>
            <w:color w:val="0000FF"/>
            <w:sz w:val="24"/>
            <w:szCs w:val="24"/>
            <w:u w:val="single"/>
            <w:lang w:eastAsia="fr-FR"/>
          </w:rPr>
          <w:t>Formation Internet</w:t>
        </w:r>
      </w:hyperlink>
      <w:r w:rsidRPr="00E000CF">
        <w:rPr>
          <w:rFonts w:ascii="Times New Roman" w:eastAsia="Times New Roman" w:hAnsi="Times New Roman" w:cs="Times New Roman"/>
          <w:sz w:val="24"/>
          <w:szCs w:val="24"/>
          <w:lang w:eastAsia="fr-FR"/>
        </w:rPr>
        <w:t xml:space="preserve">, </w:t>
      </w:r>
      <w:hyperlink r:id="rId69" w:tooltip="Voir tous les articles dans Formation numérique" w:history="1">
        <w:r w:rsidRPr="00E000CF">
          <w:rPr>
            <w:rFonts w:ascii="Times New Roman" w:eastAsia="Times New Roman" w:hAnsi="Times New Roman" w:cs="Times New Roman"/>
            <w:color w:val="0000FF"/>
            <w:sz w:val="24"/>
            <w:szCs w:val="24"/>
            <w:u w:val="single"/>
            <w:lang w:eastAsia="fr-FR"/>
          </w:rPr>
          <w:t>Formation numérique</w:t>
        </w:r>
      </w:hyperlink>
      <w:r w:rsidRPr="00E000CF">
        <w:rPr>
          <w:rFonts w:ascii="Times New Roman" w:eastAsia="Times New Roman" w:hAnsi="Times New Roman" w:cs="Times New Roman"/>
          <w:sz w:val="24"/>
          <w:szCs w:val="24"/>
          <w:lang w:eastAsia="fr-FR"/>
        </w:rPr>
        <w:t xml:space="preserve">, </w:t>
      </w:r>
      <w:hyperlink r:id="rId70" w:tooltip="Voir tous les articles dans Jeunes" w:history="1">
        <w:r w:rsidRPr="00E000CF">
          <w:rPr>
            <w:rFonts w:ascii="Times New Roman" w:eastAsia="Times New Roman" w:hAnsi="Times New Roman" w:cs="Times New Roman"/>
            <w:color w:val="0000FF"/>
            <w:sz w:val="24"/>
            <w:szCs w:val="24"/>
            <w:u w:val="single"/>
            <w:lang w:eastAsia="fr-FR"/>
          </w:rPr>
          <w:t>Jeunes</w:t>
        </w:r>
      </w:hyperlink>
      <w:r w:rsidRPr="00E000CF">
        <w:rPr>
          <w:rFonts w:ascii="Times New Roman" w:eastAsia="Times New Roman" w:hAnsi="Times New Roman" w:cs="Times New Roman"/>
          <w:sz w:val="24"/>
          <w:szCs w:val="24"/>
          <w:lang w:eastAsia="fr-FR"/>
        </w:rPr>
        <w:t xml:space="preserve">, </w:t>
      </w:r>
      <w:hyperlink r:id="rId71" w:tooltip="Voir tous les articles dans Populations accueillies" w:history="1">
        <w:r w:rsidRPr="00E000CF">
          <w:rPr>
            <w:rFonts w:ascii="Times New Roman" w:eastAsia="Times New Roman" w:hAnsi="Times New Roman" w:cs="Times New Roman"/>
            <w:color w:val="0000FF"/>
            <w:sz w:val="24"/>
            <w:szCs w:val="24"/>
            <w:u w:val="single"/>
            <w:lang w:eastAsia="fr-FR"/>
          </w:rPr>
          <w:t>Populations accueillies</w:t>
        </w:r>
      </w:hyperlink>
      <w:r w:rsidRPr="00E000CF">
        <w:rPr>
          <w:rFonts w:ascii="Times New Roman" w:eastAsia="Times New Roman" w:hAnsi="Times New Roman" w:cs="Times New Roman"/>
          <w:sz w:val="24"/>
          <w:szCs w:val="24"/>
          <w:lang w:eastAsia="fr-FR"/>
        </w:rPr>
        <w:t xml:space="preserve">, </w:t>
      </w:r>
      <w:hyperlink r:id="rId72" w:tooltip="Voir tous les articles dans Protection des mineurs" w:history="1">
        <w:r w:rsidRPr="00E000CF">
          <w:rPr>
            <w:rFonts w:ascii="Times New Roman" w:eastAsia="Times New Roman" w:hAnsi="Times New Roman" w:cs="Times New Roman"/>
            <w:color w:val="0000FF"/>
            <w:sz w:val="24"/>
            <w:szCs w:val="24"/>
            <w:u w:val="single"/>
            <w:lang w:eastAsia="fr-FR"/>
          </w:rPr>
          <w:t>Protection des mineurs</w:t>
        </w:r>
      </w:hyperlink>
      <w:r w:rsidRPr="00E000CF">
        <w:rPr>
          <w:rFonts w:ascii="Times New Roman" w:eastAsia="Times New Roman" w:hAnsi="Times New Roman" w:cs="Times New Roman"/>
          <w:sz w:val="24"/>
          <w:szCs w:val="24"/>
          <w:lang w:eastAsia="fr-FR"/>
        </w:rPr>
        <w:t xml:space="preserve">, </w:t>
      </w:r>
      <w:hyperlink r:id="rId73" w:tooltip="Voir tous les articles dans Ressources NetPublic" w:history="1">
        <w:r w:rsidRPr="00E000CF">
          <w:rPr>
            <w:rFonts w:ascii="Times New Roman" w:eastAsia="Times New Roman" w:hAnsi="Times New Roman" w:cs="Times New Roman"/>
            <w:color w:val="0000FF"/>
            <w:sz w:val="24"/>
            <w:szCs w:val="24"/>
            <w:u w:val="single"/>
            <w:lang w:eastAsia="fr-FR"/>
          </w:rPr>
          <w:t xml:space="preserve">Ressources </w:t>
        </w:r>
        <w:proofErr w:type="spellStart"/>
        <w:r w:rsidRPr="00E000CF">
          <w:rPr>
            <w:rFonts w:ascii="Times New Roman" w:eastAsia="Times New Roman" w:hAnsi="Times New Roman" w:cs="Times New Roman"/>
            <w:color w:val="0000FF"/>
            <w:sz w:val="24"/>
            <w:szCs w:val="24"/>
            <w:u w:val="single"/>
            <w:lang w:eastAsia="fr-FR"/>
          </w:rPr>
          <w:t>NetPublic</w:t>
        </w:r>
        <w:proofErr w:type="spellEnd"/>
      </w:hyperlink>
      <w:r w:rsidRPr="00E000CF">
        <w:rPr>
          <w:rFonts w:ascii="Times New Roman" w:eastAsia="Times New Roman" w:hAnsi="Times New Roman" w:cs="Times New Roman"/>
          <w:sz w:val="24"/>
          <w:szCs w:val="24"/>
          <w:lang w:eastAsia="fr-FR"/>
        </w:rPr>
        <w:t xml:space="preserve">, </w:t>
      </w:r>
      <w:hyperlink r:id="rId74" w:tooltip="Voir tous les articles dans Tutoriels, supports de cours" w:history="1">
        <w:r w:rsidRPr="00E000CF">
          <w:rPr>
            <w:rFonts w:ascii="Times New Roman" w:eastAsia="Times New Roman" w:hAnsi="Times New Roman" w:cs="Times New Roman"/>
            <w:color w:val="0000FF"/>
            <w:sz w:val="24"/>
            <w:szCs w:val="24"/>
            <w:u w:val="single"/>
            <w:lang w:eastAsia="fr-FR"/>
          </w:rPr>
          <w:t>Tutoriels, supports de cours</w:t>
        </w:r>
      </w:hyperlink>
    </w:p>
    <w:p w:rsidR="00E000CF" w:rsidRPr="00E000CF" w:rsidRDefault="00E000CF" w:rsidP="00E000C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E000CF">
        <w:rPr>
          <w:rFonts w:ascii="Times New Roman" w:eastAsia="Times New Roman" w:hAnsi="Times New Roman" w:cs="Times New Roman"/>
          <w:b/>
          <w:bCs/>
          <w:sz w:val="36"/>
          <w:szCs w:val="36"/>
          <w:lang w:eastAsia="fr-FR"/>
        </w:rPr>
        <w:t>Ressources similaires</w:t>
      </w:r>
    </w:p>
    <w:p w:rsidR="00E000CF" w:rsidRPr="00E000CF" w:rsidRDefault="00E000CF" w:rsidP="00E000C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75" w:tooltip="22 avril 2013" w:history="1">
        <w:r w:rsidRPr="00E000CF">
          <w:rPr>
            <w:rFonts w:ascii="Times New Roman" w:eastAsia="Times New Roman" w:hAnsi="Times New Roman" w:cs="Times New Roman"/>
            <w:color w:val="0000FF"/>
            <w:sz w:val="24"/>
            <w:szCs w:val="24"/>
            <w:u w:val="single"/>
            <w:lang w:eastAsia="fr-FR"/>
          </w:rPr>
          <w:t xml:space="preserve">MOOC C2i </w:t>
        </w:r>
        <w:proofErr w:type="spellStart"/>
        <w:r w:rsidRPr="00E000CF">
          <w:rPr>
            <w:rFonts w:ascii="Times New Roman" w:eastAsia="Times New Roman" w:hAnsi="Times New Roman" w:cs="Times New Roman"/>
            <w:color w:val="0000FF"/>
            <w:sz w:val="24"/>
            <w:szCs w:val="24"/>
            <w:u w:val="single"/>
            <w:lang w:eastAsia="fr-FR"/>
          </w:rPr>
          <w:t>iNum</w:t>
        </w:r>
        <w:proofErr w:type="spellEnd"/>
        <w:r w:rsidRPr="00E000CF">
          <w:rPr>
            <w:rFonts w:ascii="Times New Roman" w:eastAsia="Times New Roman" w:hAnsi="Times New Roman" w:cs="Times New Roman"/>
            <w:color w:val="0000FF"/>
            <w:sz w:val="24"/>
            <w:szCs w:val="24"/>
            <w:u w:val="single"/>
            <w:lang w:eastAsia="fr-FR"/>
          </w:rPr>
          <w:t xml:space="preserve"> ouvert aux animateurs multimédia en EPN</w:t>
        </w:r>
      </w:hyperlink>
    </w:p>
    <w:p w:rsidR="00E000CF" w:rsidRPr="00E000CF" w:rsidRDefault="00E000CF" w:rsidP="00E000C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76" w:tooltip="6 février 2014" w:history="1">
        <w:r w:rsidRPr="00E000CF">
          <w:rPr>
            <w:rFonts w:ascii="Times New Roman" w:eastAsia="Times New Roman" w:hAnsi="Times New Roman" w:cs="Times New Roman"/>
            <w:color w:val="0000FF"/>
            <w:sz w:val="24"/>
            <w:szCs w:val="24"/>
            <w:u w:val="single"/>
            <w:lang w:eastAsia="fr-FR"/>
          </w:rPr>
          <w:t>Comment trouver un MOOC pour apprendre ? 2 sites pratiques</w:t>
        </w:r>
      </w:hyperlink>
    </w:p>
    <w:p w:rsidR="00E000CF" w:rsidRPr="00E000CF" w:rsidRDefault="00E000CF" w:rsidP="00E000C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77" w:tooltip="1 mars 2013" w:history="1">
        <w:r w:rsidRPr="00E000CF">
          <w:rPr>
            <w:rFonts w:ascii="Times New Roman" w:eastAsia="Times New Roman" w:hAnsi="Times New Roman" w:cs="Times New Roman"/>
            <w:color w:val="0000FF"/>
            <w:sz w:val="24"/>
            <w:szCs w:val="24"/>
            <w:u w:val="single"/>
            <w:lang w:eastAsia="fr-FR"/>
          </w:rPr>
          <w:t>Apprendre à rechercher sur Internet : site complet d’aide</w:t>
        </w:r>
      </w:hyperlink>
    </w:p>
    <w:p w:rsidR="00E000CF" w:rsidRPr="00E000CF" w:rsidRDefault="00E000CF" w:rsidP="00E000C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78" w:tooltip="18 mai 2012" w:history="1">
        <w:r w:rsidRPr="00E000CF">
          <w:rPr>
            <w:rFonts w:ascii="Times New Roman" w:eastAsia="Times New Roman" w:hAnsi="Times New Roman" w:cs="Times New Roman"/>
            <w:color w:val="0000FF"/>
            <w:sz w:val="24"/>
            <w:szCs w:val="24"/>
            <w:u w:val="single"/>
            <w:lang w:eastAsia="fr-FR"/>
          </w:rPr>
          <w:t>Rechercher une information en bibliothèque et sur Internet : méthodologie (infographie)</w:t>
        </w:r>
      </w:hyperlink>
    </w:p>
    <w:p w:rsidR="00E000CF" w:rsidRPr="00E000CF" w:rsidRDefault="00E000CF" w:rsidP="00E000C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79" w:tooltip="5 juillet 2012" w:history="1">
        <w:r w:rsidRPr="00E000CF">
          <w:rPr>
            <w:rFonts w:ascii="Times New Roman" w:eastAsia="Times New Roman" w:hAnsi="Times New Roman" w:cs="Times New Roman"/>
            <w:color w:val="0000FF"/>
            <w:sz w:val="24"/>
            <w:szCs w:val="24"/>
            <w:u w:val="single"/>
            <w:lang w:eastAsia="fr-FR"/>
          </w:rPr>
          <w:t>Guide Comprendre les pratiques des jeunes sur Internet pour créer une information de qualité</w:t>
        </w:r>
      </w:hyperlink>
    </w:p>
    <w:p w:rsidR="00056FE5" w:rsidRDefault="00056FE5">
      <w:pPr>
        <w:rPr>
          <w:rFonts w:ascii="Times New Roman" w:eastAsia="Times New Roman" w:hAnsi="Times New Roman" w:cs="Times New Roman"/>
          <w:b/>
          <w:bCs/>
          <w:kern w:val="36"/>
          <w:sz w:val="44"/>
          <w:szCs w:val="48"/>
          <w:lang w:eastAsia="fr-FR"/>
        </w:rPr>
      </w:pPr>
      <w:r>
        <w:rPr>
          <w:sz w:val="44"/>
        </w:rPr>
        <w:br w:type="page"/>
      </w:r>
    </w:p>
    <w:p w:rsidR="00056FE5" w:rsidRPr="00056FE5" w:rsidRDefault="00056FE5" w:rsidP="00056FE5">
      <w:pPr>
        <w:pStyle w:val="Titre1"/>
        <w:rPr>
          <w:sz w:val="44"/>
        </w:rPr>
      </w:pPr>
      <w:bookmarkStart w:id="6" w:name="_Toc385784765"/>
      <w:r>
        <w:rPr>
          <w:sz w:val="44"/>
        </w:rPr>
        <w:lastRenderedPageBreak/>
        <w:t xml:space="preserve">Article 5 </w:t>
      </w:r>
      <w:r w:rsidRPr="00056FE5">
        <w:rPr>
          <w:sz w:val="44"/>
        </w:rPr>
        <w:t xml:space="preserve">L'environnement personnel </w:t>
      </w:r>
      <w:proofErr w:type="gramStart"/>
      <w:r w:rsidRPr="00056FE5">
        <w:rPr>
          <w:sz w:val="44"/>
        </w:rPr>
        <w:t>d'apprentissage</w:t>
      </w:r>
      <w:proofErr w:type="gramEnd"/>
      <w:r w:rsidRPr="00056FE5">
        <w:rPr>
          <w:sz w:val="44"/>
        </w:rPr>
        <w:t xml:space="preserve"> de l'élève</w:t>
      </w:r>
      <w:bookmarkEnd w:id="6"/>
      <w:r w:rsidRPr="00056FE5">
        <w:rPr>
          <w:sz w:val="44"/>
        </w:rPr>
        <w:t xml:space="preserve">  </w:t>
      </w:r>
    </w:p>
    <w:p w:rsidR="00056FE5" w:rsidRDefault="00056FE5" w:rsidP="00056FE5">
      <w:pPr>
        <w:pStyle w:val="NormalWeb"/>
      </w:pPr>
      <w:r>
        <w:rPr>
          <w:rStyle w:val="Accentuation"/>
        </w:rPr>
        <w:t>Les travaux sur l'impact des écrans aussi controversés soient-ils montrent que des effets de développement sont certains, mais qu'on ne peut isoler les écrans d'un ensemble plus complexe qu'on appelle plus largement éducation. Chaque personne apprend à apprendre au cours de son enfance et tout au long de sa vie. Il est possible que ce soit d'ailleurs un des éléments essentiels de la réussite scolaire, voire dans la vie. Ce qui différencie chacun de nous des autres est probablement la manière dont nous construisons nos stratégies et nos méthodes personnelles.</w:t>
      </w:r>
      <w:r>
        <w:t xml:space="preserve"> </w:t>
      </w:r>
    </w:p>
    <w:p w:rsidR="00056FE5" w:rsidRDefault="00056FE5" w:rsidP="00056FE5">
      <w:pPr>
        <w:pStyle w:val="NormalWeb"/>
      </w:pPr>
      <w:r>
        <w:rPr>
          <w:noProof/>
        </w:rPr>
        <mc:AlternateContent>
          <mc:Choice Requires="wps">
            <w:drawing>
              <wp:anchor distT="0" distB="0" distL="0" distR="0" simplePos="0" relativeHeight="251658240" behindDoc="0" locked="0" layoutInCell="1" allowOverlap="0" wp14:anchorId="661BF57A" wp14:editId="59A531C5">
                <wp:simplePos x="0" y="0"/>
                <wp:positionH relativeFrom="column">
                  <wp:align>left</wp:align>
                </wp:positionH>
                <wp:positionV relativeFrom="line">
                  <wp:posOffset>0</wp:posOffset>
                </wp:positionV>
                <wp:extent cx="304800" cy="304800"/>
                <wp:effectExtent l="0" t="0" r="0" b="0"/>
                <wp:wrapSquare wrapText="bothSides"/>
                <wp:docPr id="12" name="Rectangle 12" descr="http://www.cafepedagogique.net/SiteCollectionImages/03051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http://www.cafepedagogique.net/SiteCollectionImages/0305136.jpg"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aOFZ3qAgAAAQYAAA4AAAAAAAAA&#10;AAAAAAAALgIAAGRycy9lMm9Eb2MueG1sUEsBAi0AFAAGAAgAAAAhAEyg6SzYAAAAAwEAAA8AAAAA&#10;AAAAAAAAAAAARAUAAGRycy9kb3ducmV2LnhtbFBLBQYAAAAABAAEAPMAAABJBgAAAAA=&#10;" o:allowoverlap="f" filled="f" stroked="f">
                <o:lock v:ext="edit" aspectratio="t"/>
                <w10:wrap type="square" anchory="line"/>
              </v:rect>
            </w:pict>
          </mc:Fallback>
        </mc:AlternateContent>
      </w:r>
      <w:r>
        <w:rPr>
          <w:b/>
          <w:bCs/>
        </w:rPr>
        <w:t>On entend souvent parler, par des enseignants, des chercheurs, de l'importance d'apprendre à apprendre</w:t>
      </w:r>
      <w:r>
        <w:t xml:space="preserve">, comme si cela n'existait pas a priori. En fait dès le plus jeune âge se construit et s'organise cette compétence qui, probablement, est très imbriquée avec le fonctionnement neuronal et son développement. A l'opposé, le risque, en parlant d'éducation, c'est de ne pas entrer suffisamment dans les particularités des actions quotidiennes, et en particulier, pour ce qui nous occupe ici, celles qui participent explicitement ou non de l'apprentissage. Or l'environnement quotidien s'est peuplé au cours du </w:t>
      </w:r>
      <w:proofErr w:type="spellStart"/>
      <w:r>
        <w:t>XXè</w:t>
      </w:r>
      <w:proofErr w:type="spellEnd"/>
      <w:r>
        <w:t xml:space="preserve"> siècle d'abord et depuis, d'un ensemble de possibilités offertes par les technologies d'information et de communication. Dans les établissements scolaires, les ordinateurs puis les réseaux s'imposent de plus en plus, même si c'est de manière inégale. Dans la poche ou le cartable des élèves, mais aussi des adultes qui les entourent, les petites machines avec écran s'imposent comme élément faisant parfois même partie de la personne elle-même.</w:t>
      </w:r>
    </w:p>
    <w:p w:rsidR="00056FE5" w:rsidRDefault="00056FE5" w:rsidP="00056FE5">
      <w:pPr>
        <w:pStyle w:val="NormalWeb"/>
      </w:pPr>
      <w:proofErr w:type="spellStart"/>
      <w:r>
        <w:rPr>
          <w:b/>
          <w:bCs/>
        </w:rPr>
        <w:t>Montre moi</w:t>
      </w:r>
      <w:proofErr w:type="spellEnd"/>
      <w:r>
        <w:rPr>
          <w:b/>
          <w:bCs/>
        </w:rPr>
        <w:t xml:space="preserve"> ton ordinateur, je te dirai qui tu es, comment tu apprends !</w:t>
      </w:r>
      <w:r>
        <w:t xml:space="preserve"> Ainsi pourrait-on imiter un aphorisme classique pour indiquer que désormais l'ordinateur personnel (sous toutes ses formes, du smartphone à l'ordinateur de bureau) est, comme le dit Michel Serres avec humour, notre tête posée devant nous. Mais qui dit tête dit aussi ordonnancement, mémoire, traitement etc... </w:t>
      </w:r>
      <w:proofErr w:type="gramStart"/>
      <w:r>
        <w:t>à</w:t>
      </w:r>
      <w:proofErr w:type="gramEnd"/>
      <w:r>
        <w:t xml:space="preserve"> l'image de ce que l'on connait (à peine) du cerveau. Chacun de nous, adultes entrés dans le monde actif avant l'arrivée de l'informatique et d'internet, avons appris à "vivre avec" ce nouvel environnement. En d'autres termes, nous avons progressivement étendu notre activité intellectuelle vers ces machines en les faisant plus ou moins progressivement entrer dans notre schéma mental de fonctionnement. Pour les plus jeunes, nés après, ces machines font partie du paysage et sont donc devenues un élément du déjà là, dès la naissance. A ce titre ces machines et leurs applications font désormais partie intégrante du processus de développement cognitif, dès le plus jeune âge. </w:t>
      </w:r>
    </w:p>
    <w:p w:rsidR="00056FE5" w:rsidRDefault="00056FE5" w:rsidP="00056FE5">
      <w:pPr>
        <w:pStyle w:val="NormalWeb"/>
      </w:pPr>
      <w:r>
        <w:rPr>
          <w:b/>
          <w:bCs/>
        </w:rPr>
        <w:t xml:space="preserve">Quand on parle du "métier d'élève" comme l'a fait Philippe Perrenoud, à l'instar d'Alain </w:t>
      </w:r>
      <w:proofErr w:type="spellStart"/>
      <w:r>
        <w:rPr>
          <w:b/>
          <w:bCs/>
        </w:rPr>
        <w:t>Coulon</w:t>
      </w:r>
      <w:proofErr w:type="spellEnd"/>
      <w:r>
        <w:rPr>
          <w:b/>
          <w:bCs/>
        </w:rPr>
        <w:t xml:space="preserve"> pour le métier d'étudiant, on parle bien de cette construction personnelle</w:t>
      </w:r>
      <w:r>
        <w:t xml:space="preserve"> que chacun doit faire pour réussir à se développer dans le contexte qui est le sien. Les exemples sont nombreux pour nous montrer cette évolution personnelle mais il semble que la force d'imposition du système scolaire ait pour effet de mettre en sommeil, ou au moins de </w:t>
      </w:r>
      <w:proofErr w:type="spellStart"/>
      <w:r>
        <w:t>coté</w:t>
      </w:r>
      <w:proofErr w:type="spellEnd"/>
      <w:r>
        <w:t xml:space="preserve">, ce développement personnel au profit d'un développement encadré et normé. Or c'est dans cet </w:t>
      </w:r>
      <w:proofErr w:type="spellStart"/>
      <w:r>
        <w:t>entre deux</w:t>
      </w:r>
      <w:proofErr w:type="spellEnd"/>
      <w:r>
        <w:t xml:space="preserve"> que chacun se construit, avec ou sans technologie, mais désormais avec. Si pendant deux siècles l'univers scolaire a pu contenir ce développement personnel, car il était peu actif, sauf pour certaines catégories d'élèves, le développement numérique impose de reposer la question : comment chaque élève développe son environnement personnel cognitif et comment celui-ci dialogue ou interfère avec le système scolaire.</w:t>
      </w:r>
    </w:p>
    <w:p w:rsidR="00056FE5" w:rsidRDefault="00056FE5" w:rsidP="00056FE5">
      <w:pPr>
        <w:pStyle w:val="NormalWeb"/>
      </w:pPr>
      <w:r>
        <w:rPr>
          <w:b/>
          <w:bCs/>
        </w:rPr>
        <w:lastRenderedPageBreak/>
        <w:t>L'environnement personnel d'apprentissage de l'élève se compose aussi bien des objets que des contenus qui transitent par ces objets</w:t>
      </w:r>
      <w:r>
        <w:t xml:space="preserve">. Même si le terme contenu n'est pas approprié il servira ici à désigner aussi bien les documents que les outils de traitement, logiciel ou non. Il se compose aussi des personnes avec lesquels l'élève interagit en présence et désormais aussi à distance du fait des moyens en ligne à sa disposition. Mais la présence d'objet ne suffit pas à définir les usages, mais simplement les potentialités d'usage. C'est d'ailleurs ce qui pose problème dès lors que l'on veut évaluer les compétences a priori des élèves dans quelque domaine que ce soit. Les critiques continues sur le niveau de maîtrise et les compétences numériques (ou pas) des élèves mettent en évidence une question fondamentale posée par de nombreux chercheurs en éducation : que faire des "connaissances préalables" des élèves. André </w:t>
      </w:r>
      <w:proofErr w:type="spellStart"/>
      <w:r>
        <w:t>Giordan</w:t>
      </w:r>
      <w:proofErr w:type="spellEnd"/>
      <w:r>
        <w:t xml:space="preserve"> avait évoqué un modèle allostérique, </w:t>
      </w:r>
      <w:proofErr w:type="spellStart"/>
      <w:r>
        <w:t>Britt</w:t>
      </w:r>
      <w:proofErr w:type="spellEnd"/>
      <w:r>
        <w:t xml:space="preserve"> Mary Barth recommande l'émergence des représentations en vue de dynamiser un conflit sociocognitif riche en potentiel d'apprentissage. Ces travaux sont bien antérieurs à la généralisation du numérique ce qui ne fait qu'amplifier le questionnement actuel. Un jeune construit-il différemment son environnement personnel d'apprentissage avec le numérique que sans ?</w:t>
      </w:r>
    </w:p>
    <w:p w:rsidR="00056FE5" w:rsidRDefault="00056FE5" w:rsidP="00056FE5">
      <w:pPr>
        <w:pStyle w:val="NormalWeb"/>
      </w:pPr>
      <w:r>
        <w:rPr>
          <w:b/>
          <w:bCs/>
        </w:rPr>
        <w:t>L'histoire du livre et de la place qu'il a prise dans la société depuis quatre siècles montre bien qu'il y a effectivement des changements réels qui s'opèrent</w:t>
      </w:r>
      <w:r>
        <w:t xml:space="preserve">. Mais ils s'effectuent sur le long terme, or nous avons tendance à ne regarder que sur le court terme, probablement à cause du rythme des changements techniques et de leur médiatisation. Dans la classe au quotidien, cela donne d'abord de la méfiance, en particulier à cause de deux phénomènes importants : le </w:t>
      </w:r>
      <w:proofErr w:type="spellStart"/>
      <w:r>
        <w:t>copier coller</w:t>
      </w:r>
      <w:proofErr w:type="spellEnd"/>
      <w:r>
        <w:t xml:space="preserve"> et la recherche d'information. Le développement de la possibilité de </w:t>
      </w:r>
      <w:proofErr w:type="spellStart"/>
      <w:r>
        <w:t>copier coller</w:t>
      </w:r>
      <w:proofErr w:type="spellEnd"/>
      <w:r>
        <w:t xml:space="preserve"> de façon simple n'a fait qu'amplifier un phénomène antérieur mais limité par les moyens techniques (le plagiat n'a pas été inventé à l'ère du numérique). L'accès à l'information, du fait de la mise en ligne massive de celle-ci, a révélé combien notre rapport à celle-ci est encadré dans un système traditionnel qui la prépare alors que désormais elle est accessible sans médiation, sans structure au travers de moteurs de recherche aux algorithmes invisibles de la plupart des usagers.</w:t>
      </w:r>
    </w:p>
    <w:p w:rsidR="00056FE5" w:rsidRDefault="00056FE5" w:rsidP="00056FE5">
      <w:pPr>
        <w:pStyle w:val="NormalWeb"/>
      </w:pPr>
      <w:r>
        <w:rPr>
          <w:b/>
          <w:bCs/>
        </w:rPr>
        <w:t>L'environnement personnel d'apprentissage des élèves s'est largement enrichi de potentialités du fait du numérique</w:t>
      </w:r>
      <w:r>
        <w:t>. Le monde scolaire s'est pour l'instant trop peu préoccupé de celui-ci, marqué qu'il est par les dérives possibles par rapport à l'organisation en place. On ne peut que constater que les jeunes de nos établissements scolaires développent une "vie parallèle" riche et variée sur les réseaux par l'intermédiaire du numérique. L'arrivée des ENT, cahiers de texte numériques et autres ressources proposées par les établissements va inévitablement provoquer (si ce n'est déjà fait) une confrontation entre des univers concurrents pour l'instant. L'enjeu de la prise en compte de cet univers est bien de penser dans les années à venir la manière dont le monde académique peut permettre aux élèves de développer leur environnement personnel d'apprentissage dans une articulation entre le dedans et le dehors des préconisations officielles. Cela suppose une ouverture d'esprit et une écoute importante dans les années qui viennent. En effet le développement des usages ordinaires des jeunes n'est pas stabilisé, il est même soumis à des incitations de tous bords, en particulier de la sphère marchande, mais aussi de la sphère médiatique ou encore de la sphère politique. Le monde scolaire soucieux d'une éducation à l'esprit critique ne peut se suffire d'un travail sur les objets et les contenus, il doit aussi s'attaquer à la question des méthodes et dispositifs personnels que chacun développe. Encore faut-il que l'ensemble de la communauté éducative perçoive cela comme un véritable enjeu d'avenir.</w:t>
      </w:r>
    </w:p>
    <w:p w:rsidR="00E000CF" w:rsidRDefault="00056FE5" w:rsidP="00056FE5">
      <w:pPr>
        <w:pStyle w:val="NormalWeb"/>
      </w:pPr>
      <w:hyperlink r:id="rId80" w:history="1">
        <w:r>
          <w:rPr>
            <w:rStyle w:val="Lienhypertexte"/>
          </w:rPr>
          <w:t xml:space="preserve">Les chroniques de Bruno </w:t>
        </w:r>
        <w:proofErr w:type="spellStart"/>
        <w:r>
          <w:rPr>
            <w:rStyle w:val="Lienhypertexte"/>
          </w:rPr>
          <w:t>Devauchelle</w:t>
        </w:r>
        <w:proofErr w:type="spellEnd"/>
      </w:hyperlink>
    </w:p>
    <w:sectPr w:rsidR="00E000CF">
      <w:headerReference w:type="default" r:id="rId81"/>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1A1" w:rsidRDefault="00BA41A1" w:rsidP="00F74351">
      <w:pPr>
        <w:spacing w:after="0" w:line="240" w:lineRule="auto"/>
      </w:pPr>
      <w:r>
        <w:separator/>
      </w:r>
    </w:p>
  </w:endnote>
  <w:endnote w:type="continuationSeparator" w:id="0">
    <w:p w:rsidR="00BA41A1" w:rsidRDefault="00BA41A1" w:rsidP="00F7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57044"/>
      <w:docPartObj>
        <w:docPartGallery w:val="Page Numbers (Bottom of Page)"/>
        <w:docPartUnique/>
      </w:docPartObj>
    </w:sdtPr>
    <w:sdtContent>
      <w:p w:rsidR="00F74351" w:rsidRDefault="00F74351">
        <w:pPr>
          <w:pStyle w:val="Pieddepage"/>
          <w:jc w:val="right"/>
        </w:pPr>
        <w:r>
          <w:fldChar w:fldCharType="begin"/>
        </w:r>
        <w:r>
          <w:instrText>PAGE   \* MERGEFORMAT</w:instrText>
        </w:r>
        <w:r>
          <w:fldChar w:fldCharType="separate"/>
        </w:r>
        <w:r w:rsidR="00501AFB">
          <w:rPr>
            <w:noProof/>
          </w:rPr>
          <w:t>3</w:t>
        </w:r>
        <w:r>
          <w:fldChar w:fldCharType="end"/>
        </w:r>
      </w:p>
    </w:sdtContent>
  </w:sdt>
  <w:p w:rsidR="00F74351" w:rsidRDefault="00F7435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1A1" w:rsidRDefault="00BA41A1" w:rsidP="00F74351">
      <w:pPr>
        <w:spacing w:after="0" w:line="240" w:lineRule="auto"/>
      </w:pPr>
      <w:r>
        <w:separator/>
      </w:r>
    </w:p>
  </w:footnote>
  <w:footnote w:type="continuationSeparator" w:id="0">
    <w:p w:rsidR="00BA41A1" w:rsidRDefault="00BA41A1" w:rsidP="00F74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508" w:rsidRDefault="00C94508">
    <w:pPr>
      <w:pStyle w:val="En-tte"/>
    </w:pPr>
    <w:r w:rsidRPr="004D5C6C">
      <w:rPr>
        <w:noProof/>
        <w:lang w:eastAsia="fr-FR"/>
      </w:rPr>
      <w:drawing>
        <wp:inline distT="0" distB="0" distL="0" distR="0" wp14:anchorId="2418291E" wp14:editId="4DEE1AAC">
          <wp:extent cx="1638300" cy="609600"/>
          <wp:effectExtent l="0" t="0" r="0" b="0"/>
          <wp:docPr id="1026" name="Picture 2" descr="C:\Users\cristold\Desktop\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ristold\Desktop\INNOVER EN FORMAT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1349" cy="610735"/>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98B"/>
    <w:multiLevelType w:val="multilevel"/>
    <w:tmpl w:val="1600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609E5"/>
    <w:multiLevelType w:val="multilevel"/>
    <w:tmpl w:val="AAA86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34EB0"/>
    <w:multiLevelType w:val="multilevel"/>
    <w:tmpl w:val="EAB01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F5192"/>
    <w:multiLevelType w:val="multilevel"/>
    <w:tmpl w:val="0C3A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03F05"/>
    <w:multiLevelType w:val="multilevel"/>
    <w:tmpl w:val="D3F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00C36"/>
    <w:multiLevelType w:val="multilevel"/>
    <w:tmpl w:val="41A2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227563"/>
    <w:multiLevelType w:val="multilevel"/>
    <w:tmpl w:val="3AC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211B2D"/>
    <w:multiLevelType w:val="multilevel"/>
    <w:tmpl w:val="88EAF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A01250"/>
    <w:multiLevelType w:val="multilevel"/>
    <w:tmpl w:val="8FC0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3"/>
  </w:num>
  <w:num w:numId="5">
    <w:abstractNumId w:val="8"/>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CF"/>
    <w:rsid w:val="00056FE5"/>
    <w:rsid w:val="0008652D"/>
    <w:rsid w:val="001C2741"/>
    <w:rsid w:val="002D303E"/>
    <w:rsid w:val="003A49AA"/>
    <w:rsid w:val="00501AFB"/>
    <w:rsid w:val="00BA41A1"/>
    <w:rsid w:val="00BC0735"/>
    <w:rsid w:val="00C94508"/>
    <w:rsid w:val="00E000CF"/>
    <w:rsid w:val="00F743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000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000C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865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00C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000C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E000CF"/>
    <w:rPr>
      <w:color w:val="0000FF"/>
      <w:u w:val="single"/>
    </w:rPr>
  </w:style>
  <w:style w:type="paragraph" w:styleId="NormalWeb">
    <w:name w:val="Normal (Web)"/>
    <w:basedOn w:val="Normal"/>
    <w:uiPriority w:val="99"/>
    <w:unhideWhenUsed/>
    <w:rsid w:val="00E000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000CF"/>
    <w:rPr>
      <w:b/>
      <w:bCs/>
    </w:rPr>
  </w:style>
  <w:style w:type="character" w:styleId="Accentuation">
    <w:name w:val="Emphasis"/>
    <w:basedOn w:val="Policepardfaut"/>
    <w:uiPriority w:val="20"/>
    <w:qFormat/>
    <w:rsid w:val="00E000CF"/>
    <w:rPr>
      <w:i/>
      <w:iCs/>
    </w:rPr>
  </w:style>
  <w:style w:type="paragraph" w:styleId="Textedebulles">
    <w:name w:val="Balloon Text"/>
    <w:basedOn w:val="Normal"/>
    <w:link w:val="TextedebullesCar"/>
    <w:uiPriority w:val="99"/>
    <w:semiHidden/>
    <w:unhideWhenUsed/>
    <w:rsid w:val="00E00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0CF"/>
    <w:rPr>
      <w:rFonts w:ascii="Tahoma" w:hAnsi="Tahoma" w:cs="Tahoma"/>
      <w:sz w:val="16"/>
      <w:szCs w:val="16"/>
    </w:rPr>
  </w:style>
  <w:style w:type="paragraph" w:styleId="En-tte">
    <w:name w:val="header"/>
    <w:basedOn w:val="Normal"/>
    <w:link w:val="En-tteCar"/>
    <w:uiPriority w:val="99"/>
    <w:unhideWhenUsed/>
    <w:rsid w:val="00F74351"/>
    <w:pPr>
      <w:tabs>
        <w:tab w:val="center" w:pos="4536"/>
        <w:tab w:val="right" w:pos="9072"/>
      </w:tabs>
      <w:spacing w:after="0" w:line="240" w:lineRule="auto"/>
    </w:pPr>
  </w:style>
  <w:style w:type="character" w:customStyle="1" w:styleId="En-tteCar">
    <w:name w:val="En-tête Car"/>
    <w:basedOn w:val="Policepardfaut"/>
    <w:link w:val="En-tte"/>
    <w:uiPriority w:val="99"/>
    <w:rsid w:val="00F74351"/>
  </w:style>
  <w:style w:type="paragraph" w:styleId="Pieddepage">
    <w:name w:val="footer"/>
    <w:basedOn w:val="Normal"/>
    <w:link w:val="PieddepageCar"/>
    <w:uiPriority w:val="99"/>
    <w:unhideWhenUsed/>
    <w:rsid w:val="00F74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351"/>
  </w:style>
  <w:style w:type="character" w:customStyle="1" w:styleId="leave-reply">
    <w:name w:val="leave-reply"/>
    <w:basedOn w:val="Policepardfaut"/>
    <w:rsid w:val="00F74351"/>
  </w:style>
  <w:style w:type="character" w:customStyle="1" w:styleId="mejs-currenttime">
    <w:name w:val="mejs-currenttime"/>
    <w:basedOn w:val="Policepardfaut"/>
    <w:rsid w:val="00F74351"/>
  </w:style>
  <w:style w:type="character" w:customStyle="1" w:styleId="mejs-duration">
    <w:name w:val="mejs-duration"/>
    <w:basedOn w:val="Policepardfaut"/>
    <w:rsid w:val="00F74351"/>
  </w:style>
  <w:style w:type="character" w:customStyle="1" w:styleId="ata11y">
    <w:name w:val="at_a11y"/>
    <w:basedOn w:val="Policepardfaut"/>
    <w:rsid w:val="003A49AA"/>
  </w:style>
  <w:style w:type="paragraph" w:styleId="TM1">
    <w:name w:val="toc 1"/>
    <w:basedOn w:val="Normal"/>
    <w:next w:val="Normal"/>
    <w:autoRedefine/>
    <w:uiPriority w:val="39"/>
    <w:unhideWhenUsed/>
    <w:rsid w:val="001C2741"/>
    <w:pPr>
      <w:spacing w:after="100"/>
    </w:pPr>
  </w:style>
  <w:style w:type="character" w:customStyle="1" w:styleId="Titre3Car">
    <w:name w:val="Titre 3 Car"/>
    <w:basedOn w:val="Policepardfaut"/>
    <w:link w:val="Titre3"/>
    <w:uiPriority w:val="9"/>
    <w:semiHidden/>
    <w:rsid w:val="0008652D"/>
    <w:rPr>
      <w:rFonts w:asciiTheme="majorHAnsi" w:eastAsiaTheme="majorEastAsia" w:hAnsiTheme="majorHAnsi" w:cstheme="majorBidi"/>
      <w:b/>
      <w:bCs/>
      <w:color w:val="4F81BD" w:themeColor="accent1"/>
    </w:rPr>
  </w:style>
  <w:style w:type="character" w:customStyle="1" w:styleId="lang-en">
    <w:name w:val="lang-en"/>
    <w:basedOn w:val="Policepardfaut"/>
    <w:rsid w:val="0008652D"/>
  </w:style>
  <w:style w:type="character" w:customStyle="1" w:styleId="tocnumber">
    <w:name w:val="tocnumber"/>
    <w:basedOn w:val="Policepardfaut"/>
    <w:rsid w:val="0008652D"/>
  </w:style>
  <w:style w:type="character" w:customStyle="1" w:styleId="toctext">
    <w:name w:val="toctext"/>
    <w:basedOn w:val="Policepardfaut"/>
    <w:rsid w:val="0008652D"/>
  </w:style>
  <w:style w:type="character" w:customStyle="1" w:styleId="mw-headline">
    <w:name w:val="mw-headline"/>
    <w:basedOn w:val="Policepardfaut"/>
    <w:rsid w:val="0008652D"/>
  </w:style>
  <w:style w:type="character" w:customStyle="1" w:styleId="noprint">
    <w:name w:val="noprint"/>
    <w:basedOn w:val="Policepardfaut"/>
    <w:rsid w:val="0008652D"/>
  </w:style>
  <w:style w:type="character" w:customStyle="1" w:styleId="reference-text">
    <w:name w:val="reference-text"/>
    <w:basedOn w:val="Policepardfaut"/>
    <w:rsid w:val="0008652D"/>
  </w:style>
  <w:style w:type="character" w:customStyle="1" w:styleId="ouvrage">
    <w:name w:val="ouvrage"/>
    <w:basedOn w:val="Policepardfaut"/>
    <w:rsid w:val="0008652D"/>
  </w:style>
  <w:style w:type="character" w:customStyle="1" w:styleId="indicateur-langue">
    <w:name w:val="indicateur-langue"/>
    <w:basedOn w:val="Policepardfaut"/>
    <w:rsid w:val="0008652D"/>
  </w:style>
  <w:style w:type="character" w:styleId="CitationHTML">
    <w:name w:val="HTML Cite"/>
    <w:basedOn w:val="Policepardfaut"/>
    <w:uiPriority w:val="99"/>
    <w:semiHidden/>
    <w:unhideWhenUsed/>
    <w:rsid w:val="0008652D"/>
    <w:rPr>
      <w:i/>
      <w:iCs/>
    </w:rPr>
  </w:style>
  <w:style w:type="character" w:customStyle="1" w:styleId="nowrap">
    <w:name w:val="nowrap"/>
    <w:basedOn w:val="Policepardfaut"/>
    <w:rsid w:val="000865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000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000C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865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00C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000C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E000CF"/>
    <w:rPr>
      <w:color w:val="0000FF"/>
      <w:u w:val="single"/>
    </w:rPr>
  </w:style>
  <w:style w:type="paragraph" w:styleId="NormalWeb">
    <w:name w:val="Normal (Web)"/>
    <w:basedOn w:val="Normal"/>
    <w:uiPriority w:val="99"/>
    <w:unhideWhenUsed/>
    <w:rsid w:val="00E000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000CF"/>
    <w:rPr>
      <w:b/>
      <w:bCs/>
    </w:rPr>
  </w:style>
  <w:style w:type="character" w:styleId="Accentuation">
    <w:name w:val="Emphasis"/>
    <w:basedOn w:val="Policepardfaut"/>
    <w:uiPriority w:val="20"/>
    <w:qFormat/>
    <w:rsid w:val="00E000CF"/>
    <w:rPr>
      <w:i/>
      <w:iCs/>
    </w:rPr>
  </w:style>
  <w:style w:type="paragraph" w:styleId="Textedebulles">
    <w:name w:val="Balloon Text"/>
    <w:basedOn w:val="Normal"/>
    <w:link w:val="TextedebullesCar"/>
    <w:uiPriority w:val="99"/>
    <w:semiHidden/>
    <w:unhideWhenUsed/>
    <w:rsid w:val="00E00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0CF"/>
    <w:rPr>
      <w:rFonts w:ascii="Tahoma" w:hAnsi="Tahoma" w:cs="Tahoma"/>
      <w:sz w:val="16"/>
      <w:szCs w:val="16"/>
    </w:rPr>
  </w:style>
  <w:style w:type="paragraph" w:styleId="En-tte">
    <w:name w:val="header"/>
    <w:basedOn w:val="Normal"/>
    <w:link w:val="En-tteCar"/>
    <w:uiPriority w:val="99"/>
    <w:unhideWhenUsed/>
    <w:rsid w:val="00F74351"/>
    <w:pPr>
      <w:tabs>
        <w:tab w:val="center" w:pos="4536"/>
        <w:tab w:val="right" w:pos="9072"/>
      </w:tabs>
      <w:spacing w:after="0" w:line="240" w:lineRule="auto"/>
    </w:pPr>
  </w:style>
  <w:style w:type="character" w:customStyle="1" w:styleId="En-tteCar">
    <w:name w:val="En-tête Car"/>
    <w:basedOn w:val="Policepardfaut"/>
    <w:link w:val="En-tte"/>
    <w:uiPriority w:val="99"/>
    <w:rsid w:val="00F74351"/>
  </w:style>
  <w:style w:type="paragraph" w:styleId="Pieddepage">
    <w:name w:val="footer"/>
    <w:basedOn w:val="Normal"/>
    <w:link w:val="PieddepageCar"/>
    <w:uiPriority w:val="99"/>
    <w:unhideWhenUsed/>
    <w:rsid w:val="00F74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351"/>
  </w:style>
  <w:style w:type="character" w:customStyle="1" w:styleId="leave-reply">
    <w:name w:val="leave-reply"/>
    <w:basedOn w:val="Policepardfaut"/>
    <w:rsid w:val="00F74351"/>
  </w:style>
  <w:style w:type="character" w:customStyle="1" w:styleId="mejs-currenttime">
    <w:name w:val="mejs-currenttime"/>
    <w:basedOn w:val="Policepardfaut"/>
    <w:rsid w:val="00F74351"/>
  </w:style>
  <w:style w:type="character" w:customStyle="1" w:styleId="mejs-duration">
    <w:name w:val="mejs-duration"/>
    <w:basedOn w:val="Policepardfaut"/>
    <w:rsid w:val="00F74351"/>
  </w:style>
  <w:style w:type="character" w:customStyle="1" w:styleId="ata11y">
    <w:name w:val="at_a11y"/>
    <w:basedOn w:val="Policepardfaut"/>
    <w:rsid w:val="003A49AA"/>
  </w:style>
  <w:style w:type="paragraph" w:styleId="TM1">
    <w:name w:val="toc 1"/>
    <w:basedOn w:val="Normal"/>
    <w:next w:val="Normal"/>
    <w:autoRedefine/>
    <w:uiPriority w:val="39"/>
    <w:unhideWhenUsed/>
    <w:rsid w:val="001C2741"/>
    <w:pPr>
      <w:spacing w:after="100"/>
    </w:pPr>
  </w:style>
  <w:style w:type="character" w:customStyle="1" w:styleId="Titre3Car">
    <w:name w:val="Titre 3 Car"/>
    <w:basedOn w:val="Policepardfaut"/>
    <w:link w:val="Titre3"/>
    <w:uiPriority w:val="9"/>
    <w:semiHidden/>
    <w:rsid w:val="0008652D"/>
    <w:rPr>
      <w:rFonts w:asciiTheme="majorHAnsi" w:eastAsiaTheme="majorEastAsia" w:hAnsiTheme="majorHAnsi" w:cstheme="majorBidi"/>
      <w:b/>
      <w:bCs/>
      <w:color w:val="4F81BD" w:themeColor="accent1"/>
    </w:rPr>
  </w:style>
  <w:style w:type="character" w:customStyle="1" w:styleId="lang-en">
    <w:name w:val="lang-en"/>
    <w:basedOn w:val="Policepardfaut"/>
    <w:rsid w:val="0008652D"/>
  </w:style>
  <w:style w:type="character" w:customStyle="1" w:styleId="tocnumber">
    <w:name w:val="tocnumber"/>
    <w:basedOn w:val="Policepardfaut"/>
    <w:rsid w:val="0008652D"/>
  </w:style>
  <w:style w:type="character" w:customStyle="1" w:styleId="toctext">
    <w:name w:val="toctext"/>
    <w:basedOn w:val="Policepardfaut"/>
    <w:rsid w:val="0008652D"/>
  </w:style>
  <w:style w:type="character" w:customStyle="1" w:styleId="mw-headline">
    <w:name w:val="mw-headline"/>
    <w:basedOn w:val="Policepardfaut"/>
    <w:rsid w:val="0008652D"/>
  </w:style>
  <w:style w:type="character" w:customStyle="1" w:styleId="noprint">
    <w:name w:val="noprint"/>
    <w:basedOn w:val="Policepardfaut"/>
    <w:rsid w:val="0008652D"/>
  </w:style>
  <w:style w:type="character" w:customStyle="1" w:styleId="reference-text">
    <w:name w:val="reference-text"/>
    <w:basedOn w:val="Policepardfaut"/>
    <w:rsid w:val="0008652D"/>
  </w:style>
  <w:style w:type="character" w:customStyle="1" w:styleId="ouvrage">
    <w:name w:val="ouvrage"/>
    <w:basedOn w:val="Policepardfaut"/>
    <w:rsid w:val="0008652D"/>
  </w:style>
  <w:style w:type="character" w:customStyle="1" w:styleId="indicateur-langue">
    <w:name w:val="indicateur-langue"/>
    <w:basedOn w:val="Policepardfaut"/>
    <w:rsid w:val="0008652D"/>
  </w:style>
  <w:style w:type="character" w:styleId="CitationHTML">
    <w:name w:val="HTML Cite"/>
    <w:basedOn w:val="Policepardfaut"/>
    <w:uiPriority w:val="99"/>
    <w:semiHidden/>
    <w:unhideWhenUsed/>
    <w:rsid w:val="0008652D"/>
    <w:rPr>
      <w:i/>
      <w:iCs/>
    </w:rPr>
  </w:style>
  <w:style w:type="character" w:customStyle="1" w:styleId="nowrap">
    <w:name w:val="nowrap"/>
    <w:basedOn w:val="Policepardfaut"/>
    <w:rsid w:val="00086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432066">
      <w:bodyDiv w:val="1"/>
      <w:marLeft w:val="0"/>
      <w:marRight w:val="0"/>
      <w:marTop w:val="0"/>
      <w:marBottom w:val="0"/>
      <w:divBdr>
        <w:top w:val="none" w:sz="0" w:space="0" w:color="auto"/>
        <w:left w:val="none" w:sz="0" w:space="0" w:color="auto"/>
        <w:bottom w:val="none" w:sz="0" w:space="0" w:color="auto"/>
        <w:right w:val="none" w:sz="0" w:space="0" w:color="auto"/>
      </w:divBdr>
      <w:divsChild>
        <w:div w:id="281616987">
          <w:marLeft w:val="0"/>
          <w:marRight w:val="0"/>
          <w:marTop w:val="0"/>
          <w:marBottom w:val="0"/>
          <w:divBdr>
            <w:top w:val="none" w:sz="0" w:space="0" w:color="auto"/>
            <w:left w:val="none" w:sz="0" w:space="0" w:color="auto"/>
            <w:bottom w:val="none" w:sz="0" w:space="0" w:color="auto"/>
            <w:right w:val="none" w:sz="0" w:space="0" w:color="auto"/>
          </w:divBdr>
          <w:divsChild>
            <w:div w:id="216665152">
              <w:marLeft w:val="0"/>
              <w:marRight w:val="0"/>
              <w:marTop w:val="0"/>
              <w:marBottom w:val="0"/>
              <w:divBdr>
                <w:top w:val="none" w:sz="0" w:space="0" w:color="auto"/>
                <w:left w:val="none" w:sz="0" w:space="0" w:color="auto"/>
                <w:bottom w:val="none" w:sz="0" w:space="0" w:color="auto"/>
                <w:right w:val="none" w:sz="0" w:space="0" w:color="auto"/>
              </w:divBdr>
              <w:divsChild>
                <w:div w:id="2139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1351">
      <w:bodyDiv w:val="1"/>
      <w:marLeft w:val="0"/>
      <w:marRight w:val="0"/>
      <w:marTop w:val="0"/>
      <w:marBottom w:val="0"/>
      <w:divBdr>
        <w:top w:val="none" w:sz="0" w:space="0" w:color="auto"/>
        <w:left w:val="none" w:sz="0" w:space="0" w:color="auto"/>
        <w:bottom w:val="none" w:sz="0" w:space="0" w:color="auto"/>
        <w:right w:val="none" w:sz="0" w:space="0" w:color="auto"/>
      </w:divBdr>
      <w:divsChild>
        <w:div w:id="897937186">
          <w:marLeft w:val="0"/>
          <w:marRight w:val="0"/>
          <w:marTop w:val="0"/>
          <w:marBottom w:val="0"/>
          <w:divBdr>
            <w:top w:val="none" w:sz="0" w:space="0" w:color="auto"/>
            <w:left w:val="none" w:sz="0" w:space="0" w:color="auto"/>
            <w:bottom w:val="none" w:sz="0" w:space="0" w:color="auto"/>
            <w:right w:val="none" w:sz="0" w:space="0" w:color="auto"/>
          </w:divBdr>
        </w:div>
        <w:div w:id="1159540837">
          <w:marLeft w:val="0"/>
          <w:marRight w:val="0"/>
          <w:marTop w:val="0"/>
          <w:marBottom w:val="0"/>
          <w:divBdr>
            <w:top w:val="none" w:sz="0" w:space="0" w:color="auto"/>
            <w:left w:val="none" w:sz="0" w:space="0" w:color="auto"/>
            <w:bottom w:val="none" w:sz="0" w:space="0" w:color="auto"/>
            <w:right w:val="none" w:sz="0" w:space="0" w:color="auto"/>
          </w:divBdr>
          <w:divsChild>
            <w:div w:id="1549300239">
              <w:marLeft w:val="0"/>
              <w:marRight w:val="0"/>
              <w:marTop w:val="0"/>
              <w:marBottom w:val="0"/>
              <w:divBdr>
                <w:top w:val="none" w:sz="0" w:space="0" w:color="auto"/>
                <w:left w:val="none" w:sz="0" w:space="0" w:color="auto"/>
                <w:bottom w:val="none" w:sz="0" w:space="0" w:color="auto"/>
                <w:right w:val="none" w:sz="0" w:space="0" w:color="auto"/>
              </w:divBdr>
              <w:divsChild>
                <w:div w:id="303705787">
                  <w:marLeft w:val="0"/>
                  <w:marRight w:val="0"/>
                  <w:marTop w:val="0"/>
                  <w:marBottom w:val="0"/>
                  <w:divBdr>
                    <w:top w:val="none" w:sz="0" w:space="0" w:color="auto"/>
                    <w:left w:val="none" w:sz="0" w:space="0" w:color="auto"/>
                    <w:bottom w:val="none" w:sz="0" w:space="0" w:color="auto"/>
                    <w:right w:val="none" w:sz="0" w:space="0" w:color="auto"/>
                  </w:divBdr>
                  <w:divsChild>
                    <w:div w:id="1015578600">
                      <w:marLeft w:val="0"/>
                      <w:marRight w:val="0"/>
                      <w:marTop w:val="0"/>
                      <w:marBottom w:val="0"/>
                      <w:divBdr>
                        <w:top w:val="none" w:sz="0" w:space="0" w:color="auto"/>
                        <w:left w:val="none" w:sz="0" w:space="0" w:color="auto"/>
                        <w:bottom w:val="none" w:sz="0" w:space="0" w:color="auto"/>
                        <w:right w:val="none" w:sz="0" w:space="0" w:color="auto"/>
                      </w:divBdr>
                      <w:divsChild>
                        <w:div w:id="333142755">
                          <w:marLeft w:val="0"/>
                          <w:marRight w:val="0"/>
                          <w:marTop w:val="0"/>
                          <w:marBottom w:val="0"/>
                          <w:divBdr>
                            <w:top w:val="none" w:sz="0" w:space="0" w:color="auto"/>
                            <w:left w:val="none" w:sz="0" w:space="0" w:color="auto"/>
                            <w:bottom w:val="none" w:sz="0" w:space="0" w:color="auto"/>
                            <w:right w:val="none" w:sz="0" w:space="0" w:color="auto"/>
                          </w:divBdr>
                        </w:div>
                        <w:div w:id="12597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757038">
      <w:bodyDiv w:val="1"/>
      <w:marLeft w:val="0"/>
      <w:marRight w:val="0"/>
      <w:marTop w:val="0"/>
      <w:marBottom w:val="0"/>
      <w:divBdr>
        <w:top w:val="none" w:sz="0" w:space="0" w:color="auto"/>
        <w:left w:val="none" w:sz="0" w:space="0" w:color="auto"/>
        <w:bottom w:val="none" w:sz="0" w:space="0" w:color="auto"/>
        <w:right w:val="none" w:sz="0" w:space="0" w:color="auto"/>
      </w:divBdr>
      <w:divsChild>
        <w:div w:id="1633444551">
          <w:marLeft w:val="0"/>
          <w:marRight w:val="0"/>
          <w:marTop w:val="0"/>
          <w:marBottom w:val="0"/>
          <w:divBdr>
            <w:top w:val="none" w:sz="0" w:space="0" w:color="auto"/>
            <w:left w:val="none" w:sz="0" w:space="0" w:color="auto"/>
            <w:bottom w:val="none" w:sz="0" w:space="0" w:color="auto"/>
            <w:right w:val="none" w:sz="0" w:space="0" w:color="auto"/>
          </w:divBdr>
        </w:div>
        <w:div w:id="420415130">
          <w:marLeft w:val="0"/>
          <w:marRight w:val="0"/>
          <w:marTop w:val="0"/>
          <w:marBottom w:val="0"/>
          <w:divBdr>
            <w:top w:val="none" w:sz="0" w:space="0" w:color="auto"/>
            <w:left w:val="none" w:sz="0" w:space="0" w:color="auto"/>
            <w:bottom w:val="none" w:sz="0" w:space="0" w:color="auto"/>
            <w:right w:val="none" w:sz="0" w:space="0" w:color="auto"/>
          </w:divBdr>
          <w:divsChild>
            <w:div w:id="1500802433">
              <w:marLeft w:val="0"/>
              <w:marRight w:val="0"/>
              <w:marTop w:val="0"/>
              <w:marBottom w:val="0"/>
              <w:divBdr>
                <w:top w:val="none" w:sz="0" w:space="0" w:color="auto"/>
                <w:left w:val="none" w:sz="0" w:space="0" w:color="auto"/>
                <w:bottom w:val="none" w:sz="0" w:space="0" w:color="auto"/>
                <w:right w:val="none" w:sz="0" w:space="0" w:color="auto"/>
              </w:divBdr>
            </w:div>
          </w:divsChild>
        </w:div>
        <w:div w:id="1582761168">
          <w:marLeft w:val="0"/>
          <w:marRight w:val="0"/>
          <w:marTop w:val="0"/>
          <w:marBottom w:val="0"/>
          <w:divBdr>
            <w:top w:val="none" w:sz="0" w:space="0" w:color="auto"/>
            <w:left w:val="none" w:sz="0" w:space="0" w:color="auto"/>
            <w:bottom w:val="none" w:sz="0" w:space="0" w:color="auto"/>
            <w:right w:val="none" w:sz="0" w:space="0" w:color="auto"/>
          </w:divBdr>
        </w:div>
      </w:divsChild>
    </w:div>
    <w:div w:id="642781674">
      <w:bodyDiv w:val="1"/>
      <w:marLeft w:val="0"/>
      <w:marRight w:val="0"/>
      <w:marTop w:val="0"/>
      <w:marBottom w:val="0"/>
      <w:divBdr>
        <w:top w:val="none" w:sz="0" w:space="0" w:color="auto"/>
        <w:left w:val="none" w:sz="0" w:space="0" w:color="auto"/>
        <w:bottom w:val="none" w:sz="0" w:space="0" w:color="auto"/>
        <w:right w:val="none" w:sz="0" w:space="0" w:color="auto"/>
      </w:divBdr>
      <w:divsChild>
        <w:div w:id="159346454">
          <w:marLeft w:val="0"/>
          <w:marRight w:val="0"/>
          <w:marTop w:val="0"/>
          <w:marBottom w:val="0"/>
          <w:divBdr>
            <w:top w:val="none" w:sz="0" w:space="0" w:color="auto"/>
            <w:left w:val="none" w:sz="0" w:space="0" w:color="auto"/>
            <w:bottom w:val="none" w:sz="0" w:space="0" w:color="auto"/>
            <w:right w:val="none" w:sz="0" w:space="0" w:color="auto"/>
          </w:divBdr>
          <w:divsChild>
            <w:div w:id="610089312">
              <w:marLeft w:val="0"/>
              <w:marRight w:val="0"/>
              <w:marTop w:val="0"/>
              <w:marBottom w:val="0"/>
              <w:divBdr>
                <w:top w:val="none" w:sz="0" w:space="0" w:color="auto"/>
                <w:left w:val="none" w:sz="0" w:space="0" w:color="auto"/>
                <w:bottom w:val="none" w:sz="0" w:space="0" w:color="auto"/>
                <w:right w:val="none" w:sz="0" w:space="0" w:color="auto"/>
              </w:divBdr>
              <w:divsChild>
                <w:div w:id="1469981159">
                  <w:marLeft w:val="0"/>
                  <w:marRight w:val="0"/>
                  <w:marTop w:val="0"/>
                  <w:marBottom w:val="0"/>
                  <w:divBdr>
                    <w:top w:val="none" w:sz="0" w:space="0" w:color="auto"/>
                    <w:left w:val="none" w:sz="0" w:space="0" w:color="auto"/>
                    <w:bottom w:val="none" w:sz="0" w:space="0" w:color="auto"/>
                    <w:right w:val="none" w:sz="0" w:space="0" w:color="auto"/>
                  </w:divBdr>
                  <w:divsChild>
                    <w:div w:id="141311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99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7520">
      <w:bodyDiv w:val="1"/>
      <w:marLeft w:val="0"/>
      <w:marRight w:val="0"/>
      <w:marTop w:val="0"/>
      <w:marBottom w:val="0"/>
      <w:divBdr>
        <w:top w:val="none" w:sz="0" w:space="0" w:color="auto"/>
        <w:left w:val="none" w:sz="0" w:space="0" w:color="auto"/>
        <w:bottom w:val="none" w:sz="0" w:space="0" w:color="auto"/>
        <w:right w:val="none" w:sz="0" w:space="0" w:color="auto"/>
      </w:divBdr>
      <w:divsChild>
        <w:div w:id="1963488834">
          <w:marLeft w:val="0"/>
          <w:marRight w:val="0"/>
          <w:marTop w:val="0"/>
          <w:marBottom w:val="0"/>
          <w:divBdr>
            <w:top w:val="none" w:sz="0" w:space="0" w:color="auto"/>
            <w:left w:val="none" w:sz="0" w:space="0" w:color="auto"/>
            <w:bottom w:val="none" w:sz="0" w:space="0" w:color="auto"/>
            <w:right w:val="none" w:sz="0" w:space="0" w:color="auto"/>
          </w:divBdr>
          <w:divsChild>
            <w:div w:id="600453987">
              <w:marLeft w:val="0"/>
              <w:marRight w:val="0"/>
              <w:marTop w:val="0"/>
              <w:marBottom w:val="0"/>
              <w:divBdr>
                <w:top w:val="none" w:sz="0" w:space="0" w:color="auto"/>
                <w:left w:val="none" w:sz="0" w:space="0" w:color="auto"/>
                <w:bottom w:val="none" w:sz="0" w:space="0" w:color="auto"/>
                <w:right w:val="none" w:sz="0" w:space="0" w:color="auto"/>
              </w:divBdr>
              <w:divsChild>
                <w:div w:id="1219635489">
                  <w:marLeft w:val="0"/>
                  <w:marRight w:val="0"/>
                  <w:marTop w:val="0"/>
                  <w:marBottom w:val="0"/>
                  <w:divBdr>
                    <w:top w:val="none" w:sz="0" w:space="0" w:color="auto"/>
                    <w:left w:val="none" w:sz="0" w:space="0" w:color="auto"/>
                    <w:bottom w:val="none" w:sz="0" w:space="0" w:color="auto"/>
                    <w:right w:val="none" w:sz="0" w:space="0" w:color="auto"/>
                  </w:divBdr>
                  <w:divsChild>
                    <w:div w:id="2146506307">
                      <w:marLeft w:val="0"/>
                      <w:marRight w:val="0"/>
                      <w:marTop w:val="0"/>
                      <w:marBottom w:val="0"/>
                      <w:divBdr>
                        <w:top w:val="none" w:sz="0" w:space="0" w:color="auto"/>
                        <w:left w:val="none" w:sz="0" w:space="0" w:color="auto"/>
                        <w:bottom w:val="none" w:sz="0" w:space="0" w:color="auto"/>
                        <w:right w:val="none" w:sz="0" w:space="0" w:color="auto"/>
                      </w:divBdr>
                    </w:div>
                    <w:div w:id="459299196">
                      <w:marLeft w:val="0"/>
                      <w:marRight w:val="0"/>
                      <w:marTop w:val="0"/>
                      <w:marBottom w:val="0"/>
                      <w:divBdr>
                        <w:top w:val="none" w:sz="0" w:space="0" w:color="auto"/>
                        <w:left w:val="none" w:sz="0" w:space="0" w:color="auto"/>
                        <w:bottom w:val="none" w:sz="0" w:space="0" w:color="auto"/>
                        <w:right w:val="none" w:sz="0" w:space="0" w:color="auto"/>
                      </w:divBdr>
                    </w:div>
                  </w:divsChild>
                </w:div>
                <w:div w:id="1898278042">
                  <w:marLeft w:val="0"/>
                  <w:marRight w:val="0"/>
                  <w:marTop w:val="0"/>
                  <w:marBottom w:val="0"/>
                  <w:divBdr>
                    <w:top w:val="none" w:sz="0" w:space="0" w:color="auto"/>
                    <w:left w:val="none" w:sz="0" w:space="0" w:color="auto"/>
                    <w:bottom w:val="none" w:sz="0" w:space="0" w:color="auto"/>
                    <w:right w:val="none" w:sz="0" w:space="0" w:color="auto"/>
                  </w:divBdr>
                  <w:divsChild>
                    <w:div w:id="1546789470">
                      <w:marLeft w:val="0"/>
                      <w:marRight w:val="0"/>
                      <w:marTop w:val="0"/>
                      <w:marBottom w:val="0"/>
                      <w:divBdr>
                        <w:top w:val="none" w:sz="0" w:space="0" w:color="auto"/>
                        <w:left w:val="none" w:sz="0" w:space="0" w:color="auto"/>
                        <w:bottom w:val="none" w:sz="0" w:space="0" w:color="auto"/>
                        <w:right w:val="none" w:sz="0" w:space="0" w:color="auto"/>
                      </w:divBdr>
                    </w:div>
                  </w:divsChild>
                </w:div>
                <w:div w:id="1770151247">
                  <w:marLeft w:val="0"/>
                  <w:marRight w:val="0"/>
                  <w:marTop w:val="0"/>
                  <w:marBottom w:val="0"/>
                  <w:divBdr>
                    <w:top w:val="none" w:sz="0" w:space="0" w:color="auto"/>
                    <w:left w:val="none" w:sz="0" w:space="0" w:color="auto"/>
                    <w:bottom w:val="none" w:sz="0" w:space="0" w:color="auto"/>
                    <w:right w:val="none" w:sz="0" w:space="0" w:color="auto"/>
                  </w:divBdr>
                  <w:divsChild>
                    <w:div w:id="1531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Environnement_d%27apprentissage_personnel" TargetMode="External"/><Relationship Id="rId18" Type="http://schemas.openxmlformats.org/officeDocument/2006/relationships/hyperlink" Target="http://fr.wikipedia.org/w/index.php?title=Bill_Olivier&amp;action=edit&amp;redlink=1" TargetMode="External"/><Relationship Id="rId26" Type="http://schemas.openxmlformats.org/officeDocument/2006/relationships/hyperlink" Target="http://archive.wikiwix.com/cache/?url=http://www.colloquia.net/&amp;title=%C2%AB%C2%A0Colloquia%C2%A0%C2%BB" TargetMode="External"/><Relationship Id="rId39" Type="http://schemas.openxmlformats.org/officeDocument/2006/relationships/hyperlink" Target="http://niroland.hypotheses.org/568" TargetMode="External"/><Relationship Id="rId21" Type="http://schemas.openxmlformats.org/officeDocument/2006/relationships/hyperlink" Target="http://fr.wikipedia.org/wiki/Syst%C3%A8me_de_Gestion_de_l%27Apprentissage" TargetMode="External"/><Relationship Id="rId34" Type="http://schemas.openxmlformats.org/officeDocument/2006/relationships/hyperlink" Target="http://fr.wikipedia.org/wiki/Learning_management_system" TargetMode="External"/><Relationship Id="rId42" Type="http://schemas.openxmlformats.org/officeDocument/2006/relationships/hyperlink" Target="http://www.elearningeuropa.info/files/media/media11561.pdf" TargetMode="External"/><Relationship Id="rId47" Type="http://schemas.openxmlformats.org/officeDocument/2006/relationships/hyperlink" Target="http://steve-wheeler.blogspot.com/2011/11/tools-of-trade.html" TargetMode="External"/><Relationship Id="rId50" Type="http://schemas.openxmlformats.org/officeDocument/2006/relationships/image" Target="media/image4.png"/><Relationship Id="rId55" Type="http://schemas.openxmlformats.org/officeDocument/2006/relationships/hyperlink" Target="http://www.addinto.com/ai/?type=bkmk" TargetMode="External"/><Relationship Id="rId63" Type="http://schemas.openxmlformats.org/officeDocument/2006/relationships/hyperlink" Target="http://www.netpublic.fr/liste/ressources-netpublic/formation-numerique/autoformation-guides/" TargetMode="External"/><Relationship Id="rId68" Type="http://schemas.openxmlformats.org/officeDocument/2006/relationships/hyperlink" Target="http://www.netpublic.fr/liste/ressources-netpublic/formation-numerique/formation-internet-formation-numerique-ressources-netpublic/" TargetMode="External"/><Relationship Id="rId76" Type="http://schemas.openxmlformats.org/officeDocument/2006/relationships/hyperlink" Target="http://www.netpublic.fr/2014/02/comment-trouver-un-mooc/"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etpublic.fr/liste/ressources-netpublic/populations-accueillies/" TargetMode="External"/><Relationship Id="rId2" Type="http://schemas.openxmlformats.org/officeDocument/2006/relationships/numbering" Target="numbering.xml"/><Relationship Id="rId16" Type="http://schemas.openxmlformats.org/officeDocument/2006/relationships/hyperlink" Target="http://fr.wikipedia.org/w/index.php?title=Colloquia&amp;action=edit&amp;redlink=1" TargetMode="External"/><Relationship Id="rId29" Type="http://schemas.openxmlformats.org/officeDocument/2006/relationships/hyperlink" Target="http://www.jisc.ac.uk/" TargetMode="External"/><Relationship Id="rId11" Type="http://schemas.openxmlformats.org/officeDocument/2006/relationships/hyperlink" Target="http://fr.wikipedia.org/wiki/Environnement_d%27apprentissage_personnel" TargetMode="External"/><Relationship Id="rId24" Type="http://schemas.openxmlformats.org/officeDocument/2006/relationships/hyperlink" Target="http://fr.wikipedia.org/wiki/Environnement_d%27apprentissage_personnel" TargetMode="External"/><Relationship Id="rId32" Type="http://schemas.openxmlformats.org/officeDocument/2006/relationships/hyperlink" Target="http://jisc.cetis.ac.uk/" TargetMode="External"/><Relationship Id="rId37" Type="http://schemas.openxmlformats.org/officeDocument/2006/relationships/hyperlink" Target="http://www.actionsfle.com/2008/04/18/environnement-personnel-dapprentissage/" TargetMode="External"/><Relationship Id="rId40" Type="http://schemas.openxmlformats.org/officeDocument/2006/relationships/image" Target="media/image1.png"/><Relationship Id="rId45" Type="http://schemas.openxmlformats.org/officeDocument/2006/relationships/image" Target="media/image2.png"/><Relationship Id="rId53" Type="http://schemas.openxmlformats.org/officeDocument/2006/relationships/hyperlink" Target="http://lisletdelisle.fr/moocs/mediateks/" TargetMode="External"/><Relationship Id="rId58" Type="http://schemas.openxmlformats.org/officeDocument/2006/relationships/hyperlink" Target="http://www.netpublic.fr/tag/mooc/" TargetMode="External"/><Relationship Id="rId66" Type="http://schemas.openxmlformats.org/officeDocument/2006/relationships/hyperlink" Target="http://www.netpublic.fr/liste/ressources-netpublic/culture-education/" TargetMode="External"/><Relationship Id="rId74" Type="http://schemas.openxmlformats.org/officeDocument/2006/relationships/hyperlink" Target="http://www.netpublic.fr/liste/ressources-netpublic/formation-numerique/tutoriels-supports-de-cours/" TargetMode="External"/><Relationship Id="rId79" Type="http://schemas.openxmlformats.org/officeDocument/2006/relationships/hyperlink" Target="http://www.netpublic.fr/2012/07/guide-comprendre-les-pratiques-des-jeunes-sur-internet-pour-creer-une-information-de-qualite/" TargetMode="External"/><Relationship Id="rId5" Type="http://schemas.openxmlformats.org/officeDocument/2006/relationships/settings" Target="settings.xml"/><Relationship Id="rId61" Type="http://schemas.openxmlformats.org/officeDocument/2006/relationships/hyperlink" Target="http://www.netpublic.fr/tag/recherche-dinformation/" TargetMode="External"/><Relationship Id="rId82" Type="http://schemas.openxmlformats.org/officeDocument/2006/relationships/footer" Target="footer1.xml"/><Relationship Id="rId10" Type="http://schemas.openxmlformats.org/officeDocument/2006/relationships/hyperlink" Target="http://fr.wikipedia.org/wiki/Environnement_d%27apprentissage_personnel" TargetMode="External"/><Relationship Id="rId19" Type="http://schemas.openxmlformats.org/officeDocument/2006/relationships/hyperlink" Target="http://fr.wikipedia.org/w/index.php?title=Lieber_Oleg&amp;action=edit&amp;redlink=1" TargetMode="External"/><Relationship Id="rId31" Type="http://schemas.openxmlformats.org/officeDocument/2006/relationships/hyperlink" Target="http://fr.wikipedia.org/wiki/Environnement_d%27apprentissage_personnel" TargetMode="External"/><Relationship Id="rId44" Type="http://schemas.openxmlformats.org/officeDocument/2006/relationships/hyperlink" Target="http://cursus.edu/dossiers-articles/articles/17796/environnement-personnel-apprentissage-communaute-pratique/#.U1P8v6Kpdm4" TargetMode="External"/><Relationship Id="rId52" Type="http://schemas.openxmlformats.org/officeDocument/2006/relationships/hyperlink" Target="http://lisletdelisle.fr/moocs/mediateks" TargetMode="External"/><Relationship Id="rId60" Type="http://schemas.openxmlformats.org/officeDocument/2006/relationships/hyperlink" Target="http://www.netpublic.fr/tag/pedagogie/" TargetMode="External"/><Relationship Id="rId65" Type="http://schemas.openxmlformats.org/officeDocument/2006/relationships/hyperlink" Target="http://www.netpublic.fr/liste/ressources-netpublic/formation-numerique/creation-multimedia/" TargetMode="External"/><Relationship Id="rId73" Type="http://schemas.openxmlformats.org/officeDocument/2006/relationships/hyperlink" Target="http://www.netpublic.fr/liste/ressources-netpublic/" TargetMode="External"/><Relationship Id="rId78" Type="http://schemas.openxmlformats.org/officeDocument/2006/relationships/hyperlink" Target="http://www.netpublic.fr/2012/05/rechercher-une-information-en-bibliotheque-et-sur-internet/" TargetMode="Externa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fr.wikipedia.org/wiki/Environnement_d%27apprentissage_personnel" TargetMode="External"/><Relationship Id="rId14" Type="http://schemas.openxmlformats.org/officeDocument/2006/relationships/hyperlink" Target="http://fr.wikipedia.org/wiki/Environnement_d%27apprentissage_personnel" TargetMode="External"/><Relationship Id="rId22" Type="http://schemas.openxmlformats.org/officeDocument/2006/relationships/hyperlink" Target="http://fr.wikipedia.org/wiki/Environnement_d%27apprentissage_personnel" TargetMode="External"/><Relationship Id="rId27" Type="http://schemas.openxmlformats.org/officeDocument/2006/relationships/hyperlink" Target="http://fr.wikipedia.org/wiki/Environnement_d%27apprentissage_personnel" TargetMode="External"/><Relationship Id="rId30" Type="http://schemas.openxmlformats.org/officeDocument/2006/relationships/hyperlink" Target="http://archive.wikiwix.com/cache/?url=http://www.jisc.ac.uk/&amp;title=http%3A%2F%2Fwww.jisc.ac.uk%2F" TargetMode="External"/><Relationship Id="rId35" Type="http://schemas.openxmlformats.org/officeDocument/2006/relationships/hyperlink" Target="http://fr.wikipedia.org/wiki/Plate-forme_d%27apprentissage_en_ligne" TargetMode="External"/><Relationship Id="rId43" Type="http://schemas.openxmlformats.org/officeDocument/2006/relationships/hyperlink" Target="http://dms.revues.org/126" TargetMode="External"/><Relationship Id="rId48" Type="http://schemas.openxmlformats.org/officeDocument/2006/relationships/hyperlink" Target="http://barbarabray.net/2011/06/23/your-pln-helps-your-plc-become-a-cop/" TargetMode="External"/><Relationship Id="rId56" Type="http://schemas.openxmlformats.org/officeDocument/2006/relationships/hyperlink" Target="http://creativecommons.org/licenses/by-nc-sa/2.0/fr/" TargetMode="External"/><Relationship Id="rId64" Type="http://schemas.openxmlformats.org/officeDocument/2006/relationships/hyperlink" Target="http://www.netpublic.fr/liste/blog-net-public/" TargetMode="External"/><Relationship Id="rId69" Type="http://schemas.openxmlformats.org/officeDocument/2006/relationships/hyperlink" Target="http://www.netpublic.fr/liste/ressources-netpublic/formation-numerique/" TargetMode="External"/><Relationship Id="rId77" Type="http://schemas.openxmlformats.org/officeDocument/2006/relationships/hyperlink" Target="http://www.netpublic.fr/2013/03/apprendre-a-rechercher-sur-internet/" TargetMode="External"/><Relationship Id="rId8" Type="http://schemas.openxmlformats.org/officeDocument/2006/relationships/endnotes" Target="endnotes.xml"/><Relationship Id="rId51" Type="http://schemas.openxmlformats.org/officeDocument/2006/relationships/hyperlink" Target="http://lisletdelisle.fr/moocs/mediateks/" TargetMode="External"/><Relationship Id="rId72" Type="http://schemas.openxmlformats.org/officeDocument/2006/relationships/hyperlink" Target="http://www.netpublic.fr/liste/ressources-netpublic/droit-netiquette-securite/protection-mineurs/" TargetMode="External"/><Relationship Id="rId80" Type="http://schemas.openxmlformats.org/officeDocument/2006/relationships/hyperlink" Target="http://www.cafepedagogique.net/lesdossiers/Pages/2012_BDevauchelle.aspx" TargetMode="External"/><Relationship Id="rId3" Type="http://schemas.openxmlformats.org/officeDocument/2006/relationships/styles" Target="styles.xml"/><Relationship Id="rId12" Type="http://schemas.openxmlformats.org/officeDocument/2006/relationships/hyperlink" Target="http://fr.wikipedia.org/wiki/Environnement_d%27apprentissage_personnel" TargetMode="External"/><Relationship Id="rId17" Type="http://schemas.openxmlformats.org/officeDocument/2006/relationships/hyperlink" Target="http://fr.wikipedia.org/wiki/Environnement_d%27apprentissage_personnel" TargetMode="External"/><Relationship Id="rId25" Type="http://schemas.openxmlformats.org/officeDocument/2006/relationships/hyperlink" Target="http://www.colloquia.net/" TargetMode="External"/><Relationship Id="rId33" Type="http://schemas.openxmlformats.org/officeDocument/2006/relationships/hyperlink" Target="http://archive.wikiwix.com/cache/?url=http://jisc.cetis.ac.uk/&amp;title=http%3A%2F%2Fjisc.cetis.ac.uk%2F" TargetMode="External"/><Relationship Id="rId38" Type="http://schemas.openxmlformats.org/officeDocument/2006/relationships/hyperlink" Target="http://ltc.umanitoba.ca/wiki/index.php?title=Ple" TargetMode="External"/><Relationship Id="rId46" Type="http://schemas.openxmlformats.org/officeDocument/2006/relationships/image" Target="media/image3.png"/><Relationship Id="rId59" Type="http://schemas.openxmlformats.org/officeDocument/2006/relationships/hyperlink" Target="http://www.netpublic.fr/tag/moteur-de-recherche/" TargetMode="External"/><Relationship Id="rId67" Type="http://schemas.openxmlformats.org/officeDocument/2006/relationships/hyperlink" Target="http://www.netpublic.fr/liste/ressources-netpublic/droit-netiquette-securite/" TargetMode="External"/><Relationship Id="rId20" Type="http://schemas.openxmlformats.org/officeDocument/2006/relationships/hyperlink" Target="http://fr.wikipedia.org/wiki/Environnement_d%27apprentissage_personnel" TargetMode="External"/><Relationship Id="rId41" Type="http://schemas.openxmlformats.org/officeDocument/2006/relationships/hyperlink" Target="http://niroland.hypotheses.org/339" TargetMode="External"/><Relationship Id="rId54" Type="http://schemas.openxmlformats.org/officeDocument/2006/relationships/hyperlink" Target="http://www.docpourdocs.fr/spip.php?breve800" TargetMode="External"/><Relationship Id="rId62" Type="http://schemas.openxmlformats.org/officeDocument/2006/relationships/hyperlink" Target="http://www.netpublic.fr/tag/veille/" TargetMode="External"/><Relationship Id="rId70" Type="http://schemas.openxmlformats.org/officeDocument/2006/relationships/hyperlink" Target="http://www.netpublic.fr/liste/ressources-netpublic/populations-accueillies/jeunes-publics-specifiques-ressources-netpublic-2/" TargetMode="External"/><Relationship Id="rId75" Type="http://schemas.openxmlformats.org/officeDocument/2006/relationships/hyperlink" Target="http://www.netpublic.fr/2013/04/mooc-c2i-inu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E-learning" TargetMode="External"/><Relationship Id="rId23" Type="http://schemas.openxmlformats.org/officeDocument/2006/relationships/hyperlink" Target="http://fr.wikipedia.org/wiki/Environnement_d%27apprentissage_personnel" TargetMode="External"/><Relationship Id="rId28" Type="http://schemas.openxmlformats.org/officeDocument/2006/relationships/hyperlink" Target="http://fr.wikipedia.org/wiki/Environnement_d%27apprentissage_personnel" TargetMode="External"/><Relationship Id="rId36" Type="http://schemas.openxmlformats.org/officeDocument/2006/relationships/hyperlink" Target="http://eap.recit.org/" TargetMode="External"/><Relationship Id="rId49" Type="http://schemas.openxmlformats.org/officeDocument/2006/relationships/hyperlink" Target="http://www.netpublic.fr/2014/04/b2i-lycees-lancement-d-un-mooc-sur-les-competences-documentaires/" TargetMode="External"/><Relationship Id="rId57" Type="http://schemas.openxmlformats.org/officeDocument/2006/relationships/hyperlink" Target="http://www.netpublic.fr/tag/identite-numeriq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1EDD4-B8AE-4E6F-9D94-F7D758BC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14</Pages>
  <Words>4486</Words>
  <Characters>24675</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29103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8</cp:revision>
  <dcterms:created xsi:type="dcterms:W3CDTF">2014-04-20T16:43:00Z</dcterms:created>
  <dcterms:modified xsi:type="dcterms:W3CDTF">2014-04-20T17:43:00Z</dcterms:modified>
</cp:coreProperties>
</file>